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714D" w14:textId="77777777" w:rsidR="00F02B66" w:rsidRDefault="00F02B66" w:rsidP="00F02B66">
      <w:pPr>
        <w:rPr>
          <w:rFonts w:ascii="Arial" w:hAnsi="Arial" w:cs="Arial"/>
          <w:sz w:val="24"/>
          <w:szCs w:val="24"/>
        </w:rPr>
      </w:pPr>
    </w:p>
    <w:p w14:paraId="3BDF0B8E" w14:textId="77777777" w:rsidR="00F02B66" w:rsidRDefault="00F02B66" w:rsidP="00F02B66">
      <w:pPr>
        <w:rPr>
          <w:rFonts w:ascii="Arial" w:hAnsi="Arial" w:cs="Arial"/>
          <w:sz w:val="24"/>
          <w:szCs w:val="24"/>
        </w:rPr>
      </w:pPr>
    </w:p>
    <w:p w14:paraId="674F024C" w14:textId="77777777" w:rsidR="00F02B66" w:rsidRDefault="00F02B66" w:rsidP="00F02B66">
      <w:pPr>
        <w:rPr>
          <w:rFonts w:ascii="Arial" w:hAnsi="Arial" w:cs="Arial"/>
          <w:sz w:val="24"/>
          <w:szCs w:val="24"/>
        </w:rPr>
      </w:pPr>
    </w:p>
    <w:p w14:paraId="2F845852" w14:textId="77777777" w:rsidR="007E06B8" w:rsidRDefault="007E06B8" w:rsidP="007E06B8">
      <w:pPr>
        <w:rPr>
          <w:b/>
          <w:bCs/>
          <w:color w:val="2F5496" w:themeColor="accent1" w:themeShade="BF"/>
          <w:sz w:val="36"/>
          <w:szCs w:val="36"/>
        </w:rPr>
      </w:pPr>
      <w:r w:rsidRPr="003949F5">
        <w:rPr>
          <w:b/>
          <w:bCs/>
          <w:color w:val="2F5496" w:themeColor="accent1" w:themeShade="BF"/>
          <w:sz w:val="36"/>
          <w:szCs w:val="36"/>
        </w:rPr>
        <w:t>LNCT</w:t>
      </w:r>
    </w:p>
    <w:p w14:paraId="033D0D8C" w14:textId="77777777" w:rsidR="007E06B8" w:rsidRPr="003949F5" w:rsidRDefault="007E06B8" w:rsidP="007E06B8">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583D5979" w14:textId="77777777" w:rsidR="007E06B8" w:rsidRDefault="007E06B8" w:rsidP="007E06B8">
      <w:pPr>
        <w:rPr>
          <w:color w:val="2F5496" w:themeColor="accent1" w:themeShade="BF"/>
          <w:sz w:val="32"/>
          <w:szCs w:val="32"/>
        </w:rPr>
      </w:pPr>
      <w:r>
        <w:rPr>
          <w:noProof/>
          <w:color w:val="4472C4" w:themeColor="accent1"/>
          <w:sz w:val="32"/>
          <w:szCs w:val="32"/>
        </w:rPr>
        <mc:AlternateContent>
          <mc:Choice Requires="wpc">
            <w:drawing>
              <wp:inline distT="0" distB="0" distL="0" distR="0" wp14:anchorId="4D903274" wp14:editId="2FEC67EE">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578294AC"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1B5BDC7F" wp14:editId="2E26AF1B">
                <wp:extent cx="5486400" cy="323849"/>
                <wp:effectExtent l="0" t="0" r="0" b="63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0EE3608F" id="Canvas 1"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449E57D7" w14:textId="77777777" w:rsidR="007E06B8" w:rsidRPr="005B1A5C" w:rsidRDefault="007E06B8" w:rsidP="007E06B8">
      <w:pPr>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099CBEA2" w14:textId="77777777" w:rsidR="007E06B8" w:rsidRPr="005B1A5C" w:rsidRDefault="007E06B8" w:rsidP="007E06B8">
      <w:pPr>
        <w:jc w:val="both"/>
        <w:rPr>
          <w:rFonts w:ascii="Arial" w:eastAsia="Times New Roman" w:hAnsi="Arial" w:cs="Times New Roman"/>
          <w:b/>
          <w:color w:val="2F5496" w:themeColor="accent1" w:themeShade="BF"/>
          <w:sz w:val="24"/>
          <w:szCs w:val="24"/>
          <w:lang w:eastAsia="en-GB"/>
        </w:rPr>
      </w:pPr>
    </w:p>
    <w:p w14:paraId="5D49F310" w14:textId="77777777" w:rsidR="007E06B8" w:rsidRPr="005B1A5C" w:rsidRDefault="007E06B8" w:rsidP="007E06B8">
      <w:pPr>
        <w:keepNext/>
        <w:spacing w:before="240" w:after="60"/>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Pr>
          <w:rFonts w:ascii="Cambria" w:eastAsia="Times New Roman" w:hAnsi="Cambria" w:cs="Times New Roman"/>
          <w:b/>
          <w:bCs/>
          <w:color w:val="2F5496" w:themeColor="accent1" w:themeShade="BF"/>
          <w:kern w:val="32"/>
          <w:sz w:val="32"/>
          <w:szCs w:val="32"/>
          <w:lang w:eastAsia="en-GB"/>
        </w:rPr>
        <w:t>/21/33</w:t>
      </w:r>
    </w:p>
    <w:p w14:paraId="78FE9F13" w14:textId="77777777" w:rsidR="007E06B8" w:rsidRDefault="007E06B8" w:rsidP="007E06B8">
      <w:pPr>
        <w:keepNext/>
        <w:spacing w:before="240" w:after="60"/>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Quick Recruitment Guide</w:t>
      </w:r>
    </w:p>
    <w:p w14:paraId="5B299C2E"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66596959"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0F2B76F8"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117FB055"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6A9C751C"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0F4590E9"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r>
        <w:rPr>
          <w:rFonts w:ascii="Arial" w:eastAsia="Times New Roman" w:hAnsi="Arial" w:cs="Times New Roman"/>
          <w:color w:val="2F5496" w:themeColor="accent1" w:themeShade="BF"/>
          <w:sz w:val="24"/>
          <w:szCs w:val="24"/>
          <w:lang w:eastAsia="en-GB"/>
        </w:rPr>
        <w:t xml:space="preserve">Please note this Agreement should be read in conjunction with Aberdeenshire Council’s </w:t>
      </w:r>
      <w:hyperlink r:id="rId7" w:history="1">
        <w:r w:rsidRPr="00602A13">
          <w:rPr>
            <w:rStyle w:val="Hyperlink"/>
            <w:rFonts w:ascii="Arial" w:eastAsia="Times New Roman" w:hAnsi="Arial" w:cs="Times New Roman"/>
            <w:sz w:val="24"/>
            <w:szCs w:val="24"/>
            <w:lang w:eastAsia="en-GB"/>
          </w:rPr>
          <w:t>Recruitment, Selection and Criminal Record Checks for Employment Procedure</w:t>
        </w:r>
      </w:hyperlink>
    </w:p>
    <w:p w14:paraId="7AD4F709" w14:textId="77777777" w:rsidR="007E06B8" w:rsidRDefault="007E06B8" w:rsidP="007E06B8">
      <w:pPr>
        <w:rPr>
          <w:rFonts w:ascii="Arial" w:eastAsia="Times New Roman" w:hAnsi="Arial" w:cs="Times New Roman"/>
          <w:color w:val="2F5496" w:themeColor="accent1" w:themeShade="BF"/>
          <w:sz w:val="24"/>
          <w:szCs w:val="24"/>
          <w:lang w:eastAsia="en-GB"/>
        </w:rPr>
      </w:pPr>
    </w:p>
    <w:p w14:paraId="5715FD8B"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01AC9F48"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56674234"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5263B5CF"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5642ACC6"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56EB1B51"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1483E824" w14:textId="77777777" w:rsidR="007E06B8" w:rsidRDefault="007E06B8" w:rsidP="007E06B8">
      <w:pPr>
        <w:rPr>
          <w:rFonts w:ascii="Arial" w:eastAsia="Times New Roman" w:hAnsi="Arial" w:cs="Times New Roman"/>
          <w:b/>
          <w:color w:val="2F5496" w:themeColor="accent1" w:themeShade="BF"/>
          <w:sz w:val="24"/>
          <w:szCs w:val="24"/>
          <w:lang w:eastAsia="en-GB"/>
        </w:rPr>
      </w:pPr>
    </w:p>
    <w:p w14:paraId="236D6E45" w14:textId="77777777" w:rsidR="007E06B8" w:rsidRPr="005B1A5C" w:rsidRDefault="007E06B8" w:rsidP="007E06B8">
      <w:pPr>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382C0198" w14:textId="77777777" w:rsidR="007E06B8" w:rsidRPr="005B1A5C" w:rsidRDefault="007E06B8" w:rsidP="007E06B8">
      <w:pPr>
        <w:rPr>
          <w:rFonts w:ascii="Arial" w:eastAsia="Times New Roman" w:hAnsi="Arial" w:cs="Times New Roman"/>
          <w:color w:val="2F5496" w:themeColor="accent1" w:themeShade="BF"/>
          <w:sz w:val="24"/>
          <w:szCs w:val="24"/>
          <w:lang w:eastAsia="en-GB"/>
        </w:rPr>
      </w:pPr>
    </w:p>
    <w:p w14:paraId="0B45E45C" w14:textId="77777777" w:rsidR="007E06B8" w:rsidRPr="005B1A5C" w:rsidRDefault="007E06B8" w:rsidP="007E06B8">
      <w:pPr>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8"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1356637C" w14:textId="77777777" w:rsidR="007E06B8" w:rsidRPr="005B1A5C" w:rsidRDefault="007E06B8" w:rsidP="007E06B8">
      <w:pPr>
        <w:rPr>
          <w:rFonts w:ascii="Arial" w:eastAsia="Times New Roman" w:hAnsi="Arial" w:cs="Times New Roman"/>
          <w:sz w:val="24"/>
          <w:szCs w:val="24"/>
          <w:lang w:eastAsia="en-GB"/>
        </w:rPr>
      </w:pPr>
    </w:p>
    <w:p w14:paraId="74333927" w14:textId="77777777" w:rsidR="007E06B8" w:rsidRPr="005B1A5C" w:rsidRDefault="007E06B8" w:rsidP="007E06B8">
      <w:pPr>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6C247458" w14:textId="77777777" w:rsidR="007E06B8" w:rsidRPr="005B1A5C" w:rsidRDefault="006459F9" w:rsidP="007E06B8">
      <w:pPr>
        <w:ind w:firstLine="720"/>
        <w:jc w:val="both"/>
        <w:rPr>
          <w:rFonts w:ascii="Arial" w:eastAsia="Times New Roman" w:hAnsi="Arial" w:cs="Times New Roman"/>
          <w:sz w:val="24"/>
          <w:szCs w:val="24"/>
          <w:lang w:eastAsia="en-GB"/>
        </w:rPr>
      </w:pPr>
      <w:hyperlink r:id="rId9" w:history="1">
        <w:r w:rsidR="007E06B8" w:rsidRPr="005B1A5C">
          <w:rPr>
            <w:rFonts w:ascii="Arial" w:eastAsia="Times New Roman" w:hAnsi="Arial" w:cs="Times New Roman"/>
            <w:color w:val="0000FF"/>
            <w:sz w:val="24"/>
            <w:szCs w:val="24"/>
            <w:u w:val="single"/>
            <w:lang w:eastAsia="en-GB"/>
          </w:rPr>
          <w:t>David.A.Smith@aberdeenshire.gov.uk</w:t>
        </w:r>
      </w:hyperlink>
      <w:r w:rsidR="007E06B8" w:rsidRPr="005B1A5C">
        <w:rPr>
          <w:rFonts w:ascii="Arial" w:eastAsia="Times New Roman" w:hAnsi="Arial" w:cs="Times New Roman"/>
          <w:sz w:val="24"/>
          <w:szCs w:val="24"/>
          <w:lang w:eastAsia="en-GB"/>
        </w:rPr>
        <w:t xml:space="preserve"> </w:t>
      </w:r>
      <w:r w:rsidR="007E06B8" w:rsidRPr="005B1A5C">
        <w:rPr>
          <w:rFonts w:ascii="Arial" w:eastAsia="Times New Roman" w:hAnsi="Arial" w:cs="Times New Roman"/>
          <w:sz w:val="24"/>
          <w:szCs w:val="24"/>
          <w:lang w:eastAsia="en-GB"/>
        </w:rPr>
        <w:tab/>
      </w:r>
      <w:r w:rsidR="007E06B8" w:rsidRPr="005B1A5C">
        <w:rPr>
          <w:rFonts w:ascii="Arial" w:eastAsia="Times New Roman" w:hAnsi="Arial" w:cs="Times New Roman"/>
          <w:sz w:val="24"/>
          <w:szCs w:val="24"/>
          <w:lang w:eastAsia="en-GB"/>
        </w:rPr>
        <w:tab/>
      </w:r>
      <w:r w:rsidR="007E06B8" w:rsidRPr="005B1A5C">
        <w:rPr>
          <w:rFonts w:ascii="Arial" w:eastAsia="Times New Roman" w:hAnsi="Arial" w:cs="Times New Roman"/>
          <w:sz w:val="24"/>
          <w:szCs w:val="24"/>
          <w:lang w:eastAsia="en-GB"/>
        </w:rPr>
        <w:tab/>
      </w:r>
      <w:r w:rsidR="007E06B8" w:rsidRPr="005B1A5C">
        <w:rPr>
          <w:rFonts w:ascii="Arial" w:eastAsia="Times New Roman" w:hAnsi="Arial" w:cs="Times New Roman"/>
          <w:sz w:val="24"/>
          <w:szCs w:val="24"/>
          <w:lang w:eastAsia="en-GB"/>
        </w:rPr>
        <w:tab/>
      </w:r>
      <w:r w:rsidR="007E06B8" w:rsidRPr="005B1A5C">
        <w:rPr>
          <w:rFonts w:ascii="Arial" w:eastAsia="Times New Roman" w:hAnsi="Arial" w:cs="Times New Roman"/>
          <w:sz w:val="24"/>
          <w:szCs w:val="24"/>
          <w:lang w:eastAsia="en-GB"/>
        </w:rPr>
        <w:tab/>
      </w:r>
      <w:hyperlink r:id="rId10" w:history="1">
        <w:r w:rsidR="007E06B8" w:rsidRPr="005B1A5C">
          <w:rPr>
            <w:rFonts w:ascii="Arial" w:eastAsia="Times New Roman" w:hAnsi="Arial" w:cs="Times New Roman"/>
            <w:color w:val="0000FF"/>
            <w:sz w:val="24"/>
            <w:szCs w:val="24"/>
            <w:u w:val="single"/>
            <w:lang w:eastAsia="en-GB"/>
          </w:rPr>
          <w:t>aberdeenshire@eis.org.uk</w:t>
        </w:r>
      </w:hyperlink>
      <w:r w:rsidR="007E06B8" w:rsidRPr="005B1A5C">
        <w:rPr>
          <w:rFonts w:ascii="Arial" w:eastAsia="Times New Roman" w:hAnsi="Arial" w:cs="Times New Roman"/>
          <w:sz w:val="24"/>
          <w:szCs w:val="24"/>
          <w:lang w:eastAsia="en-GB"/>
        </w:rPr>
        <w:t xml:space="preserve">  </w:t>
      </w:r>
    </w:p>
    <w:bookmarkEnd w:id="0"/>
    <w:p w14:paraId="0179A7EC" w14:textId="77777777" w:rsidR="007E06B8" w:rsidRDefault="007E06B8">
      <w:pPr>
        <w:rPr>
          <w:rFonts w:ascii="Arial" w:hAnsi="Arial" w:cs="Arial"/>
          <w:sz w:val="24"/>
          <w:szCs w:val="24"/>
        </w:rPr>
      </w:pPr>
      <w:r>
        <w:rPr>
          <w:rFonts w:ascii="Arial" w:hAnsi="Arial" w:cs="Arial"/>
          <w:sz w:val="24"/>
          <w:szCs w:val="24"/>
        </w:rPr>
        <w:br w:type="page"/>
      </w:r>
    </w:p>
    <w:p w14:paraId="2A4C8DCE" w14:textId="12A06FBE" w:rsidR="00F02B66" w:rsidRPr="0043596D" w:rsidRDefault="00F02B66" w:rsidP="00F02B66">
      <w:pPr>
        <w:pStyle w:val="Heading1"/>
        <w:rPr>
          <w:rFonts w:ascii="Arial" w:hAnsi="Arial" w:cs="Arial"/>
          <w:b/>
          <w:bCs/>
          <w:color w:val="004289"/>
          <w:sz w:val="28"/>
          <w:szCs w:val="28"/>
        </w:rPr>
      </w:pPr>
      <w:r w:rsidRPr="0043596D">
        <w:rPr>
          <w:rFonts w:ascii="Arial" w:hAnsi="Arial" w:cs="Arial"/>
          <w:b/>
          <w:bCs/>
          <w:color w:val="004289"/>
          <w:sz w:val="28"/>
          <w:szCs w:val="28"/>
        </w:rPr>
        <w:lastRenderedPageBreak/>
        <w:t xml:space="preserve">Quick </w:t>
      </w:r>
      <w:r w:rsidR="00C67FB8">
        <w:rPr>
          <w:rFonts w:ascii="Arial" w:hAnsi="Arial" w:cs="Arial"/>
          <w:b/>
          <w:bCs/>
          <w:color w:val="004289"/>
          <w:sz w:val="28"/>
          <w:szCs w:val="28"/>
        </w:rPr>
        <w:t>R</w:t>
      </w:r>
      <w:r w:rsidRPr="0043596D">
        <w:rPr>
          <w:rFonts w:ascii="Arial" w:hAnsi="Arial" w:cs="Arial"/>
          <w:b/>
          <w:bCs/>
          <w:color w:val="004289"/>
          <w:sz w:val="28"/>
          <w:szCs w:val="28"/>
        </w:rPr>
        <w:t>ecruitment Guide</w:t>
      </w:r>
    </w:p>
    <w:p w14:paraId="55E8E4C9" w14:textId="77777777" w:rsidR="00F02B66" w:rsidRPr="0043596D" w:rsidRDefault="00F02B66" w:rsidP="00F02B66">
      <w:pPr>
        <w:spacing w:after="160"/>
        <w:rPr>
          <w:rFonts w:ascii="Arial" w:hAnsi="Arial" w:cs="Arial"/>
          <w:sz w:val="24"/>
          <w:szCs w:val="24"/>
        </w:rPr>
      </w:pPr>
    </w:p>
    <w:p w14:paraId="629DE1C3" w14:textId="77777777" w:rsidR="00F02B66" w:rsidRPr="0043596D" w:rsidRDefault="00F02B66" w:rsidP="00F02B66">
      <w:pPr>
        <w:spacing w:after="160"/>
        <w:rPr>
          <w:rFonts w:ascii="Arial" w:hAnsi="Arial" w:cs="Arial"/>
          <w:sz w:val="24"/>
          <w:szCs w:val="24"/>
        </w:rPr>
      </w:pPr>
      <w:r w:rsidRPr="0043596D">
        <w:rPr>
          <w:rFonts w:ascii="Arial" w:hAnsi="Arial" w:cs="Arial"/>
          <w:sz w:val="24"/>
          <w:szCs w:val="24"/>
        </w:rPr>
        <w:t>Dear Colleague,</w:t>
      </w:r>
    </w:p>
    <w:p w14:paraId="5DEAE183" w14:textId="77777777" w:rsidR="00F02B66" w:rsidRPr="0043596D" w:rsidRDefault="00F02B66" w:rsidP="00F02B66">
      <w:pPr>
        <w:spacing w:after="160"/>
        <w:jc w:val="both"/>
        <w:rPr>
          <w:rFonts w:ascii="Arial" w:hAnsi="Arial" w:cs="Arial"/>
          <w:sz w:val="24"/>
          <w:szCs w:val="24"/>
        </w:rPr>
      </w:pPr>
      <w:r w:rsidRPr="0043596D">
        <w:rPr>
          <w:rFonts w:ascii="Arial" w:hAnsi="Arial" w:cs="Arial"/>
          <w:sz w:val="24"/>
          <w:szCs w:val="24"/>
        </w:rPr>
        <w:t xml:space="preserve">New guidance has been added that allows for the distribution of additional hours to existing part-time teachers without recruitment – see new section 1.1 Additional hours.  The purpose of the Quick Guide is to signpost those LNCT agreements that cover all aspects of teacher recruitment and transfers.  No agreement can anticipate all situations and where there is a perceived need to vary an agreement then the QIO and the LNCT Joint Secretaries should be contacted in relation to such a proposed variation. </w:t>
      </w:r>
    </w:p>
    <w:p w14:paraId="16DA391B" w14:textId="77777777" w:rsidR="00F02B66" w:rsidRPr="0043596D" w:rsidRDefault="00F02B66" w:rsidP="00F02B66">
      <w:pPr>
        <w:spacing w:after="160"/>
        <w:rPr>
          <w:rFonts w:ascii="Arial" w:hAnsi="Arial" w:cs="Arial"/>
          <w:sz w:val="24"/>
          <w:szCs w:val="24"/>
        </w:rPr>
      </w:pPr>
      <w:r w:rsidRPr="0043596D">
        <w:rPr>
          <w:rFonts w:ascii="Arial" w:hAnsi="Arial" w:cs="Arial"/>
          <w:sz w:val="24"/>
          <w:szCs w:val="24"/>
        </w:rPr>
        <w:t>The Guide covers:</w:t>
      </w:r>
    </w:p>
    <w:p w14:paraId="4CCD8478" w14:textId="77777777" w:rsidR="00F02B66" w:rsidRPr="0043596D" w:rsidRDefault="00F02B66" w:rsidP="00F02B66">
      <w:pPr>
        <w:pStyle w:val="ListParagraph"/>
        <w:numPr>
          <w:ilvl w:val="0"/>
          <w:numId w:val="1"/>
        </w:numPr>
        <w:spacing w:after="160"/>
        <w:rPr>
          <w:rFonts w:ascii="Arial" w:hAnsi="Arial" w:cs="Arial"/>
          <w:sz w:val="24"/>
          <w:szCs w:val="24"/>
        </w:rPr>
      </w:pPr>
      <w:r w:rsidRPr="0043596D">
        <w:rPr>
          <w:rFonts w:ascii="Arial" w:hAnsi="Arial" w:cs="Arial"/>
          <w:sz w:val="24"/>
          <w:szCs w:val="24"/>
        </w:rPr>
        <w:t>Appointments</w:t>
      </w:r>
    </w:p>
    <w:p w14:paraId="035FCA43" w14:textId="77777777"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Additional hours.</w:t>
      </w:r>
    </w:p>
    <w:p w14:paraId="0CDF1794" w14:textId="77777777"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Permanent Appointments</w:t>
      </w:r>
    </w:p>
    <w:p w14:paraId="659834D2" w14:textId="77777777"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Fixed term appointments</w:t>
      </w:r>
    </w:p>
    <w:p w14:paraId="1B2F5500" w14:textId="77777777"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Short term supply</w:t>
      </w:r>
    </w:p>
    <w:p w14:paraId="01DCAC62" w14:textId="77777777"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Acting Up appointments</w:t>
      </w:r>
    </w:p>
    <w:p w14:paraId="09CDD4BE" w14:textId="77777777"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Appointment PTF when Faculty created</w:t>
      </w:r>
    </w:p>
    <w:p w14:paraId="386725CA" w14:textId="315144A8" w:rsidR="00F02B66" w:rsidRPr="0043596D" w:rsidRDefault="00F02B66" w:rsidP="00F02B66">
      <w:pPr>
        <w:pStyle w:val="ListParagraph"/>
        <w:numPr>
          <w:ilvl w:val="1"/>
          <w:numId w:val="2"/>
        </w:numPr>
        <w:spacing w:after="160"/>
        <w:ind w:hanging="51"/>
        <w:rPr>
          <w:rFonts w:ascii="Arial" w:hAnsi="Arial" w:cs="Arial"/>
          <w:sz w:val="24"/>
          <w:szCs w:val="24"/>
        </w:rPr>
      </w:pPr>
      <w:r w:rsidRPr="0043596D">
        <w:rPr>
          <w:rFonts w:ascii="Arial" w:hAnsi="Arial" w:cs="Arial"/>
          <w:sz w:val="24"/>
          <w:szCs w:val="24"/>
        </w:rPr>
        <w:t xml:space="preserve">Changes to </w:t>
      </w:r>
      <w:r w:rsidR="00FB443D">
        <w:rPr>
          <w:rFonts w:ascii="Arial" w:hAnsi="Arial" w:cs="Arial"/>
          <w:sz w:val="24"/>
          <w:szCs w:val="24"/>
        </w:rPr>
        <w:t>F</w:t>
      </w:r>
      <w:r w:rsidR="00FB443D" w:rsidRPr="0043596D">
        <w:rPr>
          <w:rFonts w:ascii="Arial" w:hAnsi="Arial" w:cs="Arial"/>
          <w:sz w:val="24"/>
          <w:szCs w:val="24"/>
        </w:rPr>
        <w:t xml:space="preserve">aculty </w:t>
      </w:r>
      <w:r w:rsidRPr="0043596D">
        <w:rPr>
          <w:rFonts w:ascii="Arial" w:hAnsi="Arial" w:cs="Arial"/>
          <w:sz w:val="24"/>
          <w:szCs w:val="24"/>
        </w:rPr>
        <w:t>Structures</w:t>
      </w:r>
    </w:p>
    <w:p w14:paraId="682179A8" w14:textId="77777777" w:rsidR="00F02B66" w:rsidRPr="0043596D" w:rsidRDefault="00F02B66" w:rsidP="00F02B66">
      <w:pPr>
        <w:spacing w:after="160"/>
        <w:ind w:left="709"/>
        <w:rPr>
          <w:rFonts w:ascii="Arial" w:hAnsi="Arial" w:cs="Arial"/>
          <w:sz w:val="24"/>
          <w:szCs w:val="24"/>
        </w:rPr>
      </w:pPr>
    </w:p>
    <w:p w14:paraId="6745174B" w14:textId="769C25A3" w:rsidR="00F02B66" w:rsidRPr="0043596D" w:rsidRDefault="00A42235" w:rsidP="00F02B66">
      <w:pPr>
        <w:pStyle w:val="ListParagraph"/>
        <w:numPr>
          <w:ilvl w:val="0"/>
          <w:numId w:val="2"/>
        </w:numPr>
        <w:spacing w:after="160"/>
        <w:rPr>
          <w:rFonts w:ascii="Arial" w:hAnsi="Arial" w:cs="Arial"/>
          <w:sz w:val="24"/>
          <w:szCs w:val="24"/>
        </w:rPr>
      </w:pPr>
      <w:r>
        <w:rPr>
          <w:rFonts w:ascii="Arial" w:hAnsi="Arial" w:cs="Arial"/>
          <w:sz w:val="24"/>
          <w:szCs w:val="24"/>
        </w:rPr>
        <w:t>Transfers</w:t>
      </w:r>
    </w:p>
    <w:p w14:paraId="609B7C59" w14:textId="77777777" w:rsidR="00F02B66" w:rsidRPr="0043596D" w:rsidRDefault="00F02B66" w:rsidP="00F02B66">
      <w:pPr>
        <w:pStyle w:val="ListParagraph"/>
        <w:numPr>
          <w:ilvl w:val="1"/>
          <w:numId w:val="3"/>
        </w:numPr>
        <w:spacing w:after="160"/>
        <w:ind w:hanging="117"/>
        <w:rPr>
          <w:rFonts w:ascii="Arial" w:hAnsi="Arial" w:cs="Arial"/>
          <w:sz w:val="24"/>
          <w:szCs w:val="24"/>
        </w:rPr>
      </w:pPr>
      <w:r w:rsidRPr="0043596D">
        <w:rPr>
          <w:rFonts w:ascii="Arial" w:hAnsi="Arial" w:cs="Arial"/>
          <w:sz w:val="24"/>
          <w:szCs w:val="24"/>
        </w:rPr>
        <w:t>Transfer to permanent contract</w:t>
      </w:r>
    </w:p>
    <w:p w14:paraId="47FE55F2" w14:textId="77777777" w:rsidR="00F02B66" w:rsidRPr="0043596D" w:rsidRDefault="00F02B66" w:rsidP="00F02B66">
      <w:pPr>
        <w:pStyle w:val="ListParagraph"/>
        <w:numPr>
          <w:ilvl w:val="1"/>
          <w:numId w:val="3"/>
        </w:numPr>
        <w:spacing w:after="160"/>
        <w:ind w:hanging="117"/>
        <w:rPr>
          <w:rFonts w:ascii="Arial" w:hAnsi="Arial" w:cs="Arial"/>
          <w:sz w:val="24"/>
          <w:szCs w:val="24"/>
        </w:rPr>
      </w:pPr>
      <w:r w:rsidRPr="0043596D">
        <w:rPr>
          <w:rFonts w:ascii="Arial" w:hAnsi="Arial" w:cs="Arial"/>
          <w:sz w:val="24"/>
          <w:szCs w:val="24"/>
        </w:rPr>
        <w:t>Job share policy</w:t>
      </w:r>
    </w:p>
    <w:p w14:paraId="0334092C" w14:textId="77777777" w:rsidR="00F02B66" w:rsidRPr="0043596D" w:rsidRDefault="00F02B66" w:rsidP="00F02B66">
      <w:pPr>
        <w:pStyle w:val="ListParagraph"/>
        <w:numPr>
          <w:ilvl w:val="1"/>
          <w:numId w:val="3"/>
        </w:numPr>
        <w:spacing w:after="160"/>
        <w:ind w:hanging="117"/>
        <w:rPr>
          <w:rFonts w:ascii="Arial" w:hAnsi="Arial" w:cs="Arial"/>
          <w:sz w:val="24"/>
          <w:szCs w:val="24"/>
        </w:rPr>
      </w:pPr>
      <w:r w:rsidRPr="0043596D">
        <w:rPr>
          <w:rFonts w:ascii="Arial" w:hAnsi="Arial" w:cs="Arial"/>
          <w:sz w:val="24"/>
          <w:szCs w:val="24"/>
        </w:rPr>
        <w:t>Compulsory transfer for unpromoted teachers</w:t>
      </w:r>
    </w:p>
    <w:p w14:paraId="7E5091CE" w14:textId="00F004F3" w:rsidR="00F02B66" w:rsidRPr="0043596D" w:rsidRDefault="00F02B66" w:rsidP="00F02B66">
      <w:pPr>
        <w:pStyle w:val="ListParagraph"/>
        <w:numPr>
          <w:ilvl w:val="1"/>
          <w:numId w:val="3"/>
        </w:numPr>
        <w:spacing w:after="160"/>
        <w:ind w:hanging="117"/>
        <w:rPr>
          <w:rFonts w:ascii="Arial" w:hAnsi="Arial" w:cs="Arial"/>
          <w:sz w:val="24"/>
          <w:szCs w:val="24"/>
        </w:rPr>
      </w:pPr>
      <w:r w:rsidRPr="0043596D">
        <w:rPr>
          <w:rFonts w:ascii="Arial" w:hAnsi="Arial" w:cs="Arial"/>
          <w:sz w:val="24"/>
          <w:szCs w:val="24"/>
        </w:rPr>
        <w:t>Redeployment of excess HTs,</w:t>
      </w:r>
      <w:r w:rsidR="00497F17">
        <w:rPr>
          <w:rFonts w:ascii="Arial" w:hAnsi="Arial" w:cs="Arial"/>
          <w:sz w:val="24"/>
          <w:szCs w:val="24"/>
        </w:rPr>
        <w:t xml:space="preserve"> </w:t>
      </w:r>
      <w:r w:rsidR="00FB443D" w:rsidRPr="0043596D">
        <w:rPr>
          <w:rFonts w:ascii="Arial" w:hAnsi="Arial" w:cs="Arial"/>
          <w:sz w:val="24"/>
          <w:szCs w:val="24"/>
        </w:rPr>
        <w:t>DH</w:t>
      </w:r>
      <w:r w:rsidR="00FB443D">
        <w:rPr>
          <w:rFonts w:ascii="Arial" w:hAnsi="Arial" w:cs="Arial"/>
          <w:sz w:val="24"/>
          <w:szCs w:val="24"/>
        </w:rPr>
        <w:t>T</w:t>
      </w:r>
      <w:r w:rsidR="00FB443D" w:rsidRPr="0043596D">
        <w:rPr>
          <w:rFonts w:ascii="Arial" w:hAnsi="Arial" w:cs="Arial"/>
          <w:sz w:val="24"/>
          <w:szCs w:val="24"/>
        </w:rPr>
        <w:t>s</w:t>
      </w:r>
      <w:r w:rsidR="00497F17">
        <w:rPr>
          <w:rFonts w:ascii="Arial" w:hAnsi="Arial" w:cs="Arial"/>
          <w:sz w:val="24"/>
          <w:szCs w:val="24"/>
        </w:rPr>
        <w:t>,</w:t>
      </w:r>
      <w:r w:rsidR="00FB443D" w:rsidRPr="0043596D">
        <w:rPr>
          <w:rFonts w:ascii="Arial" w:hAnsi="Arial" w:cs="Arial"/>
          <w:sz w:val="24"/>
          <w:szCs w:val="24"/>
        </w:rPr>
        <w:t xml:space="preserve"> </w:t>
      </w:r>
      <w:r w:rsidRPr="0043596D">
        <w:rPr>
          <w:rFonts w:ascii="Arial" w:hAnsi="Arial" w:cs="Arial"/>
          <w:sz w:val="24"/>
          <w:szCs w:val="24"/>
        </w:rPr>
        <w:t>and PTGs,</w:t>
      </w:r>
    </w:p>
    <w:p w14:paraId="73F68E36" w14:textId="77777777" w:rsidR="00F02B66" w:rsidRPr="0043596D" w:rsidRDefault="00F02B66" w:rsidP="00F02B66">
      <w:pPr>
        <w:spacing w:after="160"/>
        <w:ind w:left="709"/>
        <w:rPr>
          <w:rFonts w:ascii="Arial" w:hAnsi="Arial" w:cs="Arial"/>
          <w:sz w:val="24"/>
          <w:szCs w:val="24"/>
        </w:rPr>
      </w:pPr>
    </w:p>
    <w:p w14:paraId="54BAA0A2" w14:textId="77777777" w:rsidR="00F02B66" w:rsidRPr="0043596D" w:rsidRDefault="00F02B66" w:rsidP="00F02B66">
      <w:pPr>
        <w:spacing w:after="160"/>
        <w:rPr>
          <w:rFonts w:ascii="Arial" w:hAnsi="Arial" w:cs="Arial"/>
          <w:sz w:val="24"/>
          <w:szCs w:val="24"/>
        </w:rPr>
      </w:pPr>
      <w:r w:rsidRPr="0043596D">
        <w:rPr>
          <w:rFonts w:ascii="Arial" w:hAnsi="Arial" w:cs="Arial"/>
          <w:sz w:val="24"/>
          <w:szCs w:val="24"/>
        </w:rPr>
        <w:t xml:space="preserve">Yours sincerely, </w:t>
      </w:r>
    </w:p>
    <w:p w14:paraId="16B139CD" w14:textId="77777777" w:rsidR="00F02B66" w:rsidRPr="0043596D" w:rsidRDefault="00F02B66" w:rsidP="00F02B66">
      <w:pPr>
        <w:spacing w:after="160"/>
        <w:rPr>
          <w:rFonts w:ascii="Arial" w:hAnsi="Arial" w:cs="Arial"/>
          <w:sz w:val="24"/>
          <w:szCs w:val="24"/>
        </w:rPr>
      </w:pPr>
      <w:r w:rsidRPr="0043596D">
        <w:rPr>
          <w:rFonts w:ascii="Arial" w:hAnsi="Arial" w:cs="Arial"/>
          <w:sz w:val="24"/>
          <w:szCs w:val="24"/>
        </w:rPr>
        <w:t>Joint Secretaries</w:t>
      </w:r>
    </w:p>
    <w:p w14:paraId="280323DF" w14:textId="77777777" w:rsidR="00F02B66" w:rsidRPr="0043596D" w:rsidRDefault="00F02B66" w:rsidP="00F02B66">
      <w:pPr>
        <w:spacing w:after="160"/>
        <w:rPr>
          <w:rFonts w:ascii="Arial" w:hAnsi="Arial" w:cs="Arial"/>
        </w:rPr>
      </w:pPr>
      <w:r w:rsidRPr="0043596D">
        <w:rPr>
          <w:rFonts w:ascii="Arial" w:hAnsi="Arial" w:cs="Arial"/>
          <w:sz w:val="24"/>
          <w:szCs w:val="24"/>
        </w:rPr>
        <w:t xml:space="preserve">Margaret Mackay, Resourcing Officer </w:t>
      </w:r>
      <w:r w:rsidRPr="0043596D">
        <w:rPr>
          <w:rFonts w:ascii="Arial" w:hAnsi="Arial" w:cs="Arial"/>
        </w:rPr>
        <w:t xml:space="preserve">(Education &amp; Children’s Services) </w:t>
      </w:r>
    </w:p>
    <w:p w14:paraId="1B83F6E8" w14:textId="77777777" w:rsidR="00F02B66" w:rsidRPr="0043596D" w:rsidRDefault="006459F9" w:rsidP="00F02B66">
      <w:pPr>
        <w:spacing w:after="160"/>
        <w:rPr>
          <w:rFonts w:ascii="Arial" w:hAnsi="Arial" w:cs="Arial"/>
          <w:sz w:val="24"/>
          <w:szCs w:val="24"/>
        </w:rPr>
      </w:pPr>
      <w:hyperlink r:id="rId11" w:history="1">
        <w:r w:rsidR="00F02B66" w:rsidRPr="0043596D">
          <w:rPr>
            <w:rStyle w:val="Hyperlink"/>
            <w:rFonts w:ascii="Arial" w:hAnsi="Arial" w:cs="Arial"/>
            <w:sz w:val="24"/>
            <w:szCs w:val="24"/>
          </w:rPr>
          <w:t>Margaret.MacKay@aberdeenshire.gov.uk</w:t>
        </w:r>
      </w:hyperlink>
      <w:r w:rsidR="00F02B66" w:rsidRPr="0043596D">
        <w:rPr>
          <w:rFonts w:ascii="Arial" w:hAnsi="Arial" w:cs="Arial"/>
          <w:sz w:val="24"/>
          <w:szCs w:val="24"/>
        </w:rPr>
        <w:t xml:space="preserve">  </w:t>
      </w:r>
    </w:p>
    <w:p w14:paraId="1CE3F042" w14:textId="0579D346" w:rsidR="00F02B66" w:rsidRPr="0043596D" w:rsidRDefault="00A003D5" w:rsidP="00F02B66">
      <w:pPr>
        <w:spacing w:after="160"/>
        <w:rPr>
          <w:rFonts w:ascii="Arial" w:hAnsi="Arial" w:cs="Arial"/>
          <w:sz w:val="24"/>
          <w:szCs w:val="24"/>
        </w:rPr>
      </w:pPr>
      <w:r>
        <w:rPr>
          <w:rFonts w:ascii="Arial" w:hAnsi="Arial" w:cs="Arial"/>
          <w:sz w:val="24"/>
          <w:szCs w:val="24"/>
        </w:rPr>
        <w:t>David Smith</w:t>
      </w:r>
      <w:r w:rsidR="00F02B66" w:rsidRPr="0043596D">
        <w:rPr>
          <w:rFonts w:ascii="Arial" w:hAnsi="Arial" w:cs="Arial"/>
          <w:sz w:val="24"/>
          <w:szCs w:val="24"/>
        </w:rPr>
        <w:t xml:space="preserve"> (LNCT Teachers’ Panel)</w:t>
      </w:r>
      <w:r>
        <w:rPr>
          <w:rFonts w:ascii="Arial" w:hAnsi="Arial" w:cs="Arial"/>
          <w:sz w:val="24"/>
          <w:szCs w:val="24"/>
        </w:rPr>
        <w:t xml:space="preserve"> </w:t>
      </w:r>
      <w:hyperlink r:id="rId12" w:history="1">
        <w:r w:rsidR="00F02B66" w:rsidRPr="0043596D">
          <w:rPr>
            <w:rStyle w:val="Hyperlink"/>
            <w:rFonts w:ascii="Arial" w:hAnsi="Arial" w:cs="Arial"/>
            <w:sz w:val="24"/>
            <w:szCs w:val="24"/>
          </w:rPr>
          <w:t>aberdeenshire@eis.org.uk</w:t>
        </w:r>
      </w:hyperlink>
    </w:p>
    <w:p w14:paraId="51BD274C" w14:textId="77777777" w:rsidR="00F02B66" w:rsidRDefault="00F02B66">
      <w:pPr>
        <w:sectPr w:rsidR="00F02B66" w:rsidSect="00F02B66">
          <w:headerReference w:type="first" r:id="rId13"/>
          <w:footerReference w:type="first" r:id="rId14"/>
          <w:pgSz w:w="11906" w:h="16838"/>
          <w:pgMar w:top="1560" w:right="1440" w:bottom="1440" w:left="1440" w:header="708" w:footer="708" w:gutter="0"/>
          <w:cols w:space="708"/>
          <w:titlePg/>
          <w:docGrid w:linePitch="360"/>
        </w:sectPr>
      </w:pPr>
    </w:p>
    <w:p w14:paraId="79E9666D" w14:textId="77777777" w:rsidR="00F02B66" w:rsidRPr="00F02B66" w:rsidRDefault="00F02B66" w:rsidP="00F02B66">
      <w:pPr>
        <w:keepNext/>
        <w:keepLines/>
        <w:spacing w:before="240"/>
        <w:outlineLvl w:val="0"/>
        <w:rPr>
          <w:rFonts w:ascii="Arial" w:eastAsiaTheme="majorEastAsia" w:hAnsi="Arial" w:cs="Arial"/>
          <w:b/>
          <w:bCs/>
          <w:color w:val="004289"/>
          <w:sz w:val="28"/>
          <w:szCs w:val="28"/>
          <w:lang w:val="en-US"/>
        </w:rPr>
      </w:pPr>
      <w:r w:rsidRPr="00F02B66">
        <w:rPr>
          <w:rFonts w:ascii="Arial" w:eastAsiaTheme="majorEastAsia" w:hAnsi="Arial" w:cs="Arial"/>
          <w:b/>
          <w:bCs/>
          <w:color w:val="004289"/>
          <w:sz w:val="28"/>
          <w:szCs w:val="28"/>
          <w:lang w:val="en-US"/>
        </w:rPr>
        <w:lastRenderedPageBreak/>
        <w:t>QUICK GUIDE – TEACHER Recruitment</w:t>
      </w:r>
    </w:p>
    <w:p w14:paraId="0A0B5BB6" w14:textId="77777777" w:rsidR="00F02B66" w:rsidRPr="00F02B66" w:rsidRDefault="00F02B66" w:rsidP="00F02B66">
      <w:pPr>
        <w:spacing w:after="100" w:afterAutospacing="1"/>
        <w:rPr>
          <w:rFonts w:ascii="Arial" w:hAnsi="Arial" w:cs="Arial"/>
          <w:lang w:val="en-US"/>
        </w:rPr>
      </w:pPr>
    </w:p>
    <w:p w14:paraId="70CA0F2F" w14:textId="39F259D2" w:rsidR="00F02B66" w:rsidRPr="00A42235" w:rsidRDefault="00F02B66" w:rsidP="00F02B66">
      <w:pPr>
        <w:pStyle w:val="Heading1"/>
        <w:numPr>
          <w:ilvl w:val="0"/>
          <w:numId w:val="10"/>
        </w:numPr>
        <w:ind w:left="426" w:hanging="426"/>
        <w:rPr>
          <w:rFonts w:ascii="Arial" w:hAnsi="Arial" w:cs="Arial"/>
          <w:b/>
          <w:bCs/>
          <w:color w:val="004289"/>
          <w:sz w:val="28"/>
          <w:szCs w:val="28"/>
          <w:lang w:val="en-US"/>
        </w:rPr>
      </w:pPr>
      <w:r w:rsidRPr="00A42235">
        <w:rPr>
          <w:rFonts w:ascii="Arial" w:hAnsi="Arial" w:cs="Arial"/>
          <w:b/>
          <w:bCs/>
          <w:color w:val="004289"/>
          <w:sz w:val="28"/>
          <w:szCs w:val="28"/>
          <w:lang w:val="en-US"/>
        </w:rPr>
        <w:t>Appointments</w:t>
      </w:r>
    </w:p>
    <w:p w14:paraId="216CAD80" w14:textId="77777777" w:rsidR="00F02B66" w:rsidRPr="00F02B66" w:rsidRDefault="00F02B66" w:rsidP="00F02B66">
      <w:pPr>
        <w:rPr>
          <w:lang w:val="en-US"/>
        </w:rPr>
      </w:pPr>
    </w:p>
    <w:p w14:paraId="12B57583" w14:textId="142CB2E1" w:rsidR="00F02B66" w:rsidRDefault="00F02B66" w:rsidP="00F02B66">
      <w:pPr>
        <w:spacing w:after="100" w:afterAutospacing="1"/>
        <w:rPr>
          <w:rFonts w:ascii="Arial" w:hAnsi="Arial" w:cs="Arial"/>
          <w:sz w:val="24"/>
          <w:szCs w:val="24"/>
          <w:u w:val="single"/>
          <w:lang w:val="en-US"/>
        </w:rPr>
      </w:pPr>
      <w:r w:rsidRPr="00F02B66">
        <w:rPr>
          <w:rFonts w:ascii="Arial" w:hAnsi="Arial" w:cs="Arial"/>
          <w:sz w:val="24"/>
          <w:szCs w:val="24"/>
          <w:lang w:val="en-US"/>
        </w:rPr>
        <w:t>See</w:t>
      </w:r>
      <w:r w:rsidRPr="00F02B66">
        <w:rPr>
          <w:rFonts w:ascii="Arial" w:hAnsi="Arial" w:cs="Arial"/>
          <w:sz w:val="24"/>
          <w:szCs w:val="24"/>
          <w:u w:val="single"/>
          <w:lang w:val="en-US"/>
        </w:rPr>
        <w:t xml:space="preserve"> </w:t>
      </w:r>
      <w:hyperlink r:id="rId15">
        <w:r w:rsidRPr="00F02B66">
          <w:rPr>
            <w:rFonts w:ascii="Arial" w:hAnsi="Arial" w:cs="Arial"/>
            <w:color w:val="0563C1" w:themeColor="hyperlink"/>
            <w:sz w:val="24"/>
            <w:szCs w:val="24"/>
            <w:u w:val="single"/>
            <w:lang w:val="en-US"/>
          </w:rPr>
          <w:t>HR Recruitment and Selection</w:t>
        </w:r>
      </w:hyperlink>
      <w:r w:rsidRPr="00F02B66">
        <w:rPr>
          <w:rFonts w:ascii="Arial" w:hAnsi="Arial" w:cs="Arial"/>
          <w:sz w:val="24"/>
          <w:szCs w:val="24"/>
          <w:lang w:val="en-US"/>
        </w:rPr>
        <w:t xml:space="preserve"> which incorporates LNCT agreements and </w:t>
      </w:r>
      <w:hyperlink r:id="rId16">
        <w:r w:rsidRPr="00F02B66">
          <w:rPr>
            <w:rFonts w:ascii="Arial" w:hAnsi="Arial" w:cs="Arial"/>
            <w:color w:val="0563C1" w:themeColor="hyperlink"/>
            <w:sz w:val="24"/>
            <w:szCs w:val="24"/>
            <w:u w:val="single"/>
            <w:lang w:val="en-US"/>
          </w:rPr>
          <w:t>Appointment Panel composition</w:t>
        </w:r>
      </w:hyperlink>
      <w:r w:rsidRPr="00F02B66">
        <w:rPr>
          <w:rFonts w:ascii="Arial" w:hAnsi="Arial" w:cs="Arial"/>
          <w:sz w:val="24"/>
          <w:szCs w:val="24"/>
          <w:u w:val="single"/>
          <w:lang w:val="en-US"/>
        </w:rPr>
        <w:t xml:space="preserve"> </w:t>
      </w:r>
    </w:p>
    <w:p w14:paraId="385F7828" w14:textId="77777777" w:rsidR="00F02B66" w:rsidRPr="00F02B66" w:rsidRDefault="00F02B66" w:rsidP="00F02B66">
      <w:pPr>
        <w:numPr>
          <w:ilvl w:val="1"/>
          <w:numId w:val="4"/>
        </w:numPr>
        <w:tabs>
          <w:tab w:val="left" w:pos="993"/>
        </w:tabs>
        <w:spacing w:after="100" w:afterAutospacing="1"/>
        <w:ind w:left="426" w:hanging="426"/>
        <w:contextualSpacing/>
        <w:rPr>
          <w:rFonts w:ascii="Arial" w:hAnsi="Arial" w:cs="Arial"/>
          <w:bCs/>
          <w:i/>
          <w:iCs/>
          <w:color w:val="004289"/>
          <w:sz w:val="24"/>
          <w:szCs w:val="24"/>
          <w:lang w:val="en-US"/>
        </w:rPr>
      </w:pPr>
      <w:r w:rsidRPr="00F02B66">
        <w:rPr>
          <w:rFonts w:ascii="Arial" w:hAnsi="Arial" w:cs="Arial"/>
          <w:bCs/>
          <w:i/>
          <w:iCs/>
          <w:color w:val="004289"/>
          <w:sz w:val="24"/>
          <w:szCs w:val="24"/>
          <w:lang w:val="en-US"/>
        </w:rPr>
        <w:t>Additional hours</w:t>
      </w:r>
    </w:p>
    <w:p w14:paraId="4191570B" w14:textId="6E54CA52"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 xml:space="preserve">Corporate policy has been amended to allow for existing employees to have their hours increased in the same post title by any amount up to the maximum full-time hours.  It also allows, for example, a </w:t>
      </w:r>
      <w:r w:rsidR="007425C6" w:rsidRPr="00F02B66">
        <w:rPr>
          <w:rFonts w:ascii="Arial" w:hAnsi="Arial" w:cs="Arial"/>
          <w:sz w:val="24"/>
          <w:szCs w:val="24"/>
          <w:lang w:val="en-US"/>
        </w:rPr>
        <w:t>full-time</w:t>
      </w:r>
      <w:r w:rsidRPr="00F02B66">
        <w:rPr>
          <w:rFonts w:ascii="Arial" w:hAnsi="Arial" w:cs="Arial"/>
          <w:sz w:val="24"/>
          <w:szCs w:val="24"/>
          <w:lang w:val="en-US"/>
        </w:rPr>
        <w:t xml:space="preserve"> post to be filled by increasing the hours of, for example, two 0.5fte teachers to full time.</w:t>
      </w:r>
    </w:p>
    <w:p w14:paraId="7FC529E4"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See Recruitment and selection procedure (above) – resource Pack.</w:t>
      </w:r>
    </w:p>
    <w:p w14:paraId="49E51B6B" w14:textId="2056637B"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 xml:space="preserve">In terms of filling </w:t>
      </w:r>
      <w:r w:rsidR="007425C6" w:rsidRPr="00F02B66">
        <w:rPr>
          <w:rFonts w:ascii="Arial" w:hAnsi="Arial" w:cs="Arial"/>
          <w:sz w:val="24"/>
          <w:szCs w:val="24"/>
          <w:lang w:val="en-US"/>
        </w:rPr>
        <w:t>posts,</w:t>
      </w:r>
      <w:r w:rsidRPr="00F02B66">
        <w:rPr>
          <w:rFonts w:ascii="Arial" w:hAnsi="Arial" w:cs="Arial"/>
          <w:sz w:val="24"/>
          <w:szCs w:val="24"/>
          <w:lang w:val="en-US"/>
        </w:rPr>
        <w:t xml:space="preserve"> the following order must be followed:</w:t>
      </w:r>
    </w:p>
    <w:p w14:paraId="7559C0FE" w14:textId="35447DF7" w:rsidR="00F02B66" w:rsidRPr="00F02B66" w:rsidRDefault="00F02B66" w:rsidP="00F02B66">
      <w:pPr>
        <w:numPr>
          <w:ilvl w:val="0"/>
          <w:numId w:val="5"/>
        </w:numPr>
        <w:spacing w:after="100" w:afterAutospacing="1"/>
        <w:ind w:left="1134" w:hanging="425"/>
        <w:contextualSpacing/>
        <w:rPr>
          <w:rFonts w:ascii="Arial" w:hAnsi="Arial" w:cs="Arial"/>
          <w:sz w:val="24"/>
          <w:szCs w:val="24"/>
          <w:lang w:val="en-US"/>
        </w:rPr>
      </w:pPr>
      <w:r w:rsidRPr="00F02B66">
        <w:rPr>
          <w:rFonts w:ascii="Arial" w:hAnsi="Arial" w:cs="Arial"/>
          <w:sz w:val="24"/>
          <w:szCs w:val="24"/>
          <w:lang w:val="en-US"/>
        </w:rPr>
        <w:t xml:space="preserve">If it is a job share that has </w:t>
      </w:r>
      <w:r w:rsidR="007425C6" w:rsidRPr="00F02B66">
        <w:rPr>
          <w:rFonts w:ascii="Arial" w:hAnsi="Arial" w:cs="Arial"/>
          <w:sz w:val="24"/>
          <w:szCs w:val="24"/>
          <w:lang w:val="en-US"/>
        </w:rPr>
        <w:t>left,</w:t>
      </w:r>
      <w:r w:rsidRPr="00F02B66">
        <w:rPr>
          <w:rFonts w:ascii="Arial" w:hAnsi="Arial" w:cs="Arial"/>
          <w:sz w:val="24"/>
          <w:szCs w:val="24"/>
          <w:lang w:val="en-US"/>
        </w:rPr>
        <w:t xml:space="preserve"> then their partner has automatic right to take up full time post (see </w:t>
      </w:r>
      <w:hyperlink r:id="rId17" w:history="1">
        <w:r w:rsidR="00FB443D" w:rsidRPr="00E97D07">
          <w:rPr>
            <w:rStyle w:val="Hyperlink"/>
            <w:rFonts w:ascii="Arial" w:hAnsi="Arial" w:cs="Arial"/>
            <w:sz w:val="24"/>
            <w:szCs w:val="24"/>
            <w:lang w:val="en-US"/>
          </w:rPr>
          <w:t>LNCT/21/20 Job Sharing Scheme for</w:t>
        </w:r>
        <w:r w:rsidR="00FB443D" w:rsidRPr="00E97D07">
          <w:rPr>
            <w:rStyle w:val="Hyperlink"/>
            <w:rFonts w:ascii="Arial" w:hAnsi="Arial" w:cs="Arial"/>
            <w:sz w:val="24"/>
            <w:szCs w:val="24"/>
            <w:lang w:val="en-US"/>
          </w:rPr>
          <w:t xml:space="preserve"> </w:t>
        </w:r>
        <w:r w:rsidR="00FB443D" w:rsidRPr="00E97D07">
          <w:rPr>
            <w:rStyle w:val="Hyperlink"/>
            <w:rFonts w:ascii="Arial" w:hAnsi="Arial" w:cs="Arial"/>
            <w:sz w:val="24"/>
            <w:szCs w:val="24"/>
            <w:lang w:val="en-US"/>
          </w:rPr>
          <w:t>Teachers</w:t>
        </w:r>
      </w:hyperlink>
      <w:r w:rsidRPr="00F02B66">
        <w:rPr>
          <w:rFonts w:ascii="Arial" w:hAnsi="Arial" w:cs="Arial"/>
          <w:sz w:val="24"/>
          <w:szCs w:val="24"/>
          <w:lang w:val="en-US"/>
        </w:rPr>
        <w:t>)</w:t>
      </w:r>
    </w:p>
    <w:p w14:paraId="0F4DCA69" w14:textId="03EF5035" w:rsidR="00F02B66" w:rsidRPr="00F02B66" w:rsidRDefault="00F02B66" w:rsidP="00F02B66">
      <w:pPr>
        <w:numPr>
          <w:ilvl w:val="0"/>
          <w:numId w:val="5"/>
        </w:numPr>
        <w:spacing w:after="100" w:afterAutospacing="1"/>
        <w:ind w:left="1134" w:hanging="425"/>
        <w:contextualSpacing/>
        <w:rPr>
          <w:rFonts w:ascii="Arial" w:hAnsi="Arial" w:cs="Arial"/>
          <w:sz w:val="24"/>
          <w:szCs w:val="24"/>
          <w:lang w:val="en-US"/>
        </w:rPr>
      </w:pPr>
      <w:r w:rsidRPr="00F02B66">
        <w:rPr>
          <w:rFonts w:ascii="Arial" w:hAnsi="Arial" w:cs="Arial"/>
          <w:sz w:val="24"/>
          <w:szCs w:val="24"/>
          <w:lang w:val="en-US"/>
        </w:rPr>
        <w:t xml:space="preserve">Check </w:t>
      </w:r>
      <w:r w:rsidR="00FB443D">
        <w:rPr>
          <w:rFonts w:ascii="Arial" w:hAnsi="Arial" w:cs="Arial"/>
          <w:sz w:val="24"/>
          <w:szCs w:val="24"/>
          <w:lang w:val="en-US"/>
        </w:rPr>
        <w:t>with QIO about excess staffing</w:t>
      </w:r>
      <w:r w:rsidRPr="00F02B66">
        <w:rPr>
          <w:rFonts w:ascii="Arial" w:hAnsi="Arial" w:cs="Arial"/>
          <w:sz w:val="24"/>
          <w:szCs w:val="24"/>
          <w:lang w:val="en-US"/>
        </w:rPr>
        <w:t>.</w:t>
      </w:r>
    </w:p>
    <w:p w14:paraId="365AD49E" w14:textId="77777777" w:rsidR="00F02B66" w:rsidRPr="00F02B66" w:rsidRDefault="00F02B66" w:rsidP="00F02B66">
      <w:pPr>
        <w:numPr>
          <w:ilvl w:val="0"/>
          <w:numId w:val="5"/>
        </w:numPr>
        <w:spacing w:after="100" w:afterAutospacing="1"/>
        <w:ind w:left="1134" w:hanging="425"/>
        <w:contextualSpacing/>
        <w:rPr>
          <w:rFonts w:ascii="Arial" w:hAnsi="Arial" w:cs="Arial"/>
          <w:sz w:val="24"/>
          <w:szCs w:val="24"/>
          <w:lang w:val="en-US"/>
        </w:rPr>
      </w:pPr>
      <w:r w:rsidRPr="00F02B66">
        <w:rPr>
          <w:rFonts w:ascii="Arial" w:hAnsi="Arial" w:cs="Arial"/>
          <w:sz w:val="24"/>
          <w:szCs w:val="24"/>
          <w:lang w:val="en-US"/>
        </w:rPr>
        <w:t>Offer as additional hours to existing part-time staff as per Additional Hours procedure (not applicable for promoted posts)</w:t>
      </w:r>
    </w:p>
    <w:p w14:paraId="559B8D42" w14:textId="6148C3AA" w:rsidR="00F02B66" w:rsidRDefault="00F02B66" w:rsidP="00F02B66">
      <w:pPr>
        <w:numPr>
          <w:ilvl w:val="0"/>
          <w:numId w:val="5"/>
        </w:numPr>
        <w:spacing w:after="100" w:afterAutospacing="1"/>
        <w:ind w:left="1134" w:hanging="425"/>
        <w:contextualSpacing/>
        <w:rPr>
          <w:rFonts w:ascii="Arial" w:hAnsi="Arial" w:cs="Arial"/>
          <w:sz w:val="24"/>
          <w:szCs w:val="24"/>
          <w:lang w:val="en-US"/>
        </w:rPr>
      </w:pPr>
      <w:r w:rsidRPr="00F02B66">
        <w:rPr>
          <w:rFonts w:ascii="Arial" w:hAnsi="Arial" w:cs="Arial"/>
          <w:sz w:val="24"/>
          <w:szCs w:val="24"/>
          <w:lang w:val="en-US"/>
        </w:rPr>
        <w:t>Advertise post externally.</w:t>
      </w:r>
    </w:p>
    <w:p w14:paraId="3F874B7E" w14:textId="77777777" w:rsidR="00F02B66" w:rsidRPr="00F02B66" w:rsidRDefault="00F02B66" w:rsidP="00F02B66">
      <w:pPr>
        <w:spacing w:after="100" w:afterAutospacing="1"/>
        <w:ind w:left="709"/>
        <w:contextualSpacing/>
        <w:rPr>
          <w:rFonts w:ascii="Arial" w:hAnsi="Arial" w:cs="Arial"/>
          <w:sz w:val="24"/>
          <w:szCs w:val="24"/>
          <w:lang w:val="en-US"/>
        </w:rPr>
      </w:pPr>
    </w:p>
    <w:p w14:paraId="4B871157"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Where the post is to be filled by award of additional hours to part time staff then the pool would be as follows:</w:t>
      </w:r>
    </w:p>
    <w:tbl>
      <w:tblPr>
        <w:tblStyle w:val="TableGrid"/>
        <w:tblW w:w="0" w:type="auto"/>
        <w:jc w:val="center"/>
        <w:tblLook w:val="04A0" w:firstRow="1" w:lastRow="0" w:firstColumn="1" w:lastColumn="0" w:noHBand="0" w:noVBand="1"/>
      </w:tblPr>
      <w:tblGrid>
        <w:gridCol w:w="2972"/>
        <w:gridCol w:w="4678"/>
      </w:tblGrid>
      <w:tr w:rsidR="00F02B66" w:rsidRPr="00F02B66" w14:paraId="0A6D3D77" w14:textId="77777777" w:rsidTr="0074141F">
        <w:trPr>
          <w:trHeight w:val="767"/>
          <w:jc w:val="center"/>
        </w:trPr>
        <w:tc>
          <w:tcPr>
            <w:tcW w:w="2972" w:type="dxa"/>
            <w:vAlign w:val="center"/>
          </w:tcPr>
          <w:p w14:paraId="17B113D2"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Primary class teacher</w:t>
            </w:r>
          </w:p>
        </w:tc>
        <w:tc>
          <w:tcPr>
            <w:tcW w:w="4678" w:type="dxa"/>
            <w:vAlign w:val="center"/>
          </w:tcPr>
          <w:p w14:paraId="7F521143"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All part-time and job share teachers in school</w:t>
            </w:r>
          </w:p>
        </w:tc>
      </w:tr>
      <w:tr w:rsidR="00F02B66" w:rsidRPr="00F02B66" w14:paraId="0A5E7D1E" w14:textId="77777777" w:rsidTr="0074141F">
        <w:trPr>
          <w:trHeight w:val="976"/>
          <w:jc w:val="center"/>
        </w:trPr>
        <w:tc>
          <w:tcPr>
            <w:tcW w:w="2972" w:type="dxa"/>
            <w:vMerge w:val="restart"/>
            <w:vAlign w:val="center"/>
          </w:tcPr>
          <w:p w14:paraId="1BDBB71B"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Secondary teacher</w:t>
            </w:r>
          </w:p>
        </w:tc>
        <w:tc>
          <w:tcPr>
            <w:tcW w:w="4678" w:type="dxa"/>
            <w:tcBorders>
              <w:bottom w:val="nil"/>
            </w:tcBorders>
            <w:vAlign w:val="center"/>
          </w:tcPr>
          <w:p w14:paraId="570C351D"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All part time and job share teachers currently employed to teach that subject in the school</w:t>
            </w:r>
          </w:p>
        </w:tc>
      </w:tr>
      <w:tr w:rsidR="00F02B66" w:rsidRPr="00F02B66" w14:paraId="190936D6" w14:textId="77777777" w:rsidTr="0074141F">
        <w:trPr>
          <w:trHeight w:val="1260"/>
          <w:jc w:val="center"/>
        </w:trPr>
        <w:tc>
          <w:tcPr>
            <w:tcW w:w="2972" w:type="dxa"/>
            <w:vMerge/>
            <w:vAlign w:val="center"/>
          </w:tcPr>
          <w:p w14:paraId="65F2AABC" w14:textId="77777777" w:rsidR="00F02B66" w:rsidRPr="00F02B66" w:rsidRDefault="00F02B66" w:rsidP="00F02B66">
            <w:pPr>
              <w:spacing w:after="100" w:afterAutospacing="1"/>
              <w:rPr>
                <w:rFonts w:ascii="Arial" w:hAnsi="Arial" w:cs="Arial"/>
                <w:sz w:val="24"/>
                <w:szCs w:val="24"/>
                <w:lang w:val="en-US"/>
              </w:rPr>
            </w:pPr>
          </w:p>
        </w:tc>
        <w:tc>
          <w:tcPr>
            <w:tcW w:w="4678" w:type="dxa"/>
            <w:tcBorders>
              <w:top w:val="nil"/>
            </w:tcBorders>
            <w:vAlign w:val="center"/>
          </w:tcPr>
          <w:p w14:paraId="298CC909"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Failing that any teacher qualified to teach that subject or fully GTCS registered and working towards additional GTCS registration in the subject</w:t>
            </w:r>
          </w:p>
        </w:tc>
      </w:tr>
      <w:tr w:rsidR="00F02B66" w:rsidRPr="00F02B66" w14:paraId="5E33E0B3" w14:textId="77777777" w:rsidTr="0074141F">
        <w:trPr>
          <w:trHeight w:val="691"/>
          <w:jc w:val="center"/>
        </w:trPr>
        <w:tc>
          <w:tcPr>
            <w:tcW w:w="2972" w:type="dxa"/>
            <w:vAlign w:val="center"/>
          </w:tcPr>
          <w:p w14:paraId="11897E0C"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SFL Teacher</w:t>
            </w:r>
          </w:p>
        </w:tc>
        <w:tc>
          <w:tcPr>
            <w:tcW w:w="4678" w:type="dxa"/>
            <w:vAlign w:val="center"/>
          </w:tcPr>
          <w:p w14:paraId="62B53EB7" w14:textId="77777777" w:rsidR="00F02B66" w:rsidRPr="00F02B66" w:rsidRDefault="00F02B66" w:rsidP="00F02B66">
            <w:pPr>
              <w:spacing w:after="100" w:afterAutospacing="1"/>
              <w:rPr>
                <w:rFonts w:ascii="Arial" w:hAnsi="Arial" w:cs="Arial"/>
                <w:sz w:val="24"/>
                <w:szCs w:val="24"/>
                <w:lang w:val="en-US"/>
              </w:rPr>
            </w:pPr>
            <w:r w:rsidRPr="00F02B66">
              <w:rPr>
                <w:rFonts w:ascii="Arial" w:hAnsi="Arial" w:cs="Arial"/>
                <w:sz w:val="24"/>
                <w:szCs w:val="24"/>
                <w:lang w:val="en-US"/>
              </w:rPr>
              <w:t>All part-time and job share SFL teachers in the CSN</w:t>
            </w:r>
          </w:p>
        </w:tc>
      </w:tr>
    </w:tbl>
    <w:p w14:paraId="0740144A" w14:textId="77777777" w:rsidR="00F02B66" w:rsidRPr="00F02B66" w:rsidRDefault="00F02B66" w:rsidP="00F02B66">
      <w:pPr>
        <w:spacing w:after="100" w:afterAutospacing="1"/>
        <w:ind w:left="709"/>
        <w:rPr>
          <w:rFonts w:ascii="Arial" w:hAnsi="Arial" w:cs="Arial"/>
          <w:sz w:val="24"/>
          <w:szCs w:val="24"/>
          <w:lang w:val="en-US"/>
        </w:rPr>
      </w:pPr>
    </w:p>
    <w:p w14:paraId="21ED5D06" w14:textId="614E8A01" w:rsidR="00F02B66" w:rsidRDefault="00F02B66" w:rsidP="00F02B66">
      <w:pPr>
        <w:spacing w:after="100" w:afterAutospacing="1"/>
        <w:rPr>
          <w:rFonts w:ascii="Arial" w:hAnsi="Arial" w:cs="Arial"/>
          <w:sz w:val="24"/>
          <w:szCs w:val="24"/>
          <w:lang w:val="en-US"/>
        </w:rPr>
      </w:pPr>
      <w:r w:rsidRPr="0043596D">
        <w:rPr>
          <w:rFonts w:ascii="Arial" w:hAnsi="Arial" w:cs="Arial"/>
          <w:sz w:val="24"/>
          <w:szCs w:val="24"/>
          <w:lang w:val="en-US"/>
        </w:rPr>
        <w:t>For teaching posts, the above procedure and pools must apply</w:t>
      </w:r>
    </w:p>
    <w:p w14:paraId="754979C1" w14:textId="77777777" w:rsidR="00F02B66" w:rsidRDefault="00F02B66" w:rsidP="00F02B66">
      <w:pPr>
        <w:spacing w:after="100" w:afterAutospacing="1"/>
        <w:rPr>
          <w:rFonts w:ascii="Arial" w:hAnsi="Arial" w:cs="Arial"/>
          <w:sz w:val="24"/>
          <w:szCs w:val="24"/>
          <w:lang w:val="en-US"/>
        </w:rPr>
        <w:sectPr w:rsidR="00F02B66" w:rsidSect="00F02B66">
          <w:headerReference w:type="default" r:id="rId18"/>
          <w:footerReference w:type="default" r:id="rId19"/>
          <w:pgSz w:w="11906" w:h="16838"/>
          <w:pgMar w:top="1440" w:right="1440" w:bottom="1135" w:left="1440" w:header="708" w:footer="708" w:gutter="0"/>
          <w:cols w:space="708"/>
          <w:docGrid w:linePitch="360"/>
        </w:sectPr>
      </w:pPr>
    </w:p>
    <w:p w14:paraId="450B7C47" w14:textId="77777777" w:rsidR="00F02B66" w:rsidRPr="00F02B66" w:rsidRDefault="00F02B66" w:rsidP="00F02B66">
      <w:pPr>
        <w:spacing w:after="100" w:afterAutospacing="1"/>
        <w:rPr>
          <w:rFonts w:ascii="Arial" w:hAnsi="Arial" w:cs="Arial"/>
          <w:bCs/>
          <w:i/>
          <w:iCs/>
          <w:color w:val="004289"/>
          <w:sz w:val="24"/>
          <w:szCs w:val="24"/>
          <w:lang w:val="en-US"/>
        </w:rPr>
      </w:pPr>
      <w:r w:rsidRPr="00F02B66">
        <w:rPr>
          <w:rFonts w:ascii="Arial" w:hAnsi="Arial" w:cs="Arial"/>
          <w:bCs/>
          <w:i/>
          <w:iCs/>
          <w:color w:val="004289"/>
          <w:sz w:val="24"/>
          <w:szCs w:val="24"/>
          <w:lang w:val="en-US"/>
        </w:rPr>
        <w:lastRenderedPageBreak/>
        <w:t>1.2</w:t>
      </w:r>
      <w:r w:rsidRPr="00F02B66">
        <w:rPr>
          <w:rFonts w:ascii="Arial" w:hAnsi="Arial" w:cs="Arial"/>
          <w:bCs/>
          <w:i/>
          <w:iCs/>
          <w:color w:val="004289"/>
          <w:sz w:val="24"/>
          <w:szCs w:val="24"/>
          <w:lang w:val="en-US"/>
        </w:rPr>
        <w:tab/>
        <w:t>Permanent Appointments</w:t>
      </w:r>
    </w:p>
    <w:p w14:paraId="64AB9B3D"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Any new teaching vacancy should be advertised and appointed on a permanent basis except in certain well-defined circumstances detailed in the next two sections.</w:t>
      </w:r>
    </w:p>
    <w:p w14:paraId="266F5F22"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For the permanent recruitment of teaching appointments (including promoted posts) the Recruitment Policy and Procedure above highlights where there are specific considerations to be made for teaching appointments.</w:t>
      </w:r>
    </w:p>
    <w:p w14:paraId="60A11B6A" w14:textId="54568D0D" w:rsidR="00F02B66" w:rsidRPr="00F02B66" w:rsidRDefault="00F02B66" w:rsidP="00F02B66">
      <w:pPr>
        <w:spacing w:after="100" w:afterAutospacing="1"/>
        <w:jc w:val="both"/>
        <w:rPr>
          <w:rFonts w:ascii="Arial" w:hAnsi="Arial" w:cs="Arial"/>
          <w:bCs/>
          <w:i/>
          <w:iCs/>
          <w:color w:val="004289"/>
          <w:sz w:val="24"/>
          <w:szCs w:val="24"/>
          <w:lang w:val="en-US"/>
        </w:rPr>
      </w:pPr>
      <w:r w:rsidRPr="00F02B66">
        <w:rPr>
          <w:rFonts w:ascii="Arial" w:hAnsi="Arial" w:cs="Arial"/>
          <w:bCs/>
          <w:i/>
          <w:iCs/>
          <w:color w:val="004289"/>
          <w:sz w:val="24"/>
          <w:szCs w:val="24"/>
          <w:lang w:val="en-US"/>
        </w:rPr>
        <w:t>1.3</w:t>
      </w:r>
      <w:r w:rsidRPr="00F02B66">
        <w:rPr>
          <w:rFonts w:ascii="Arial" w:hAnsi="Arial" w:cs="Arial"/>
          <w:bCs/>
          <w:i/>
          <w:iCs/>
          <w:color w:val="004289"/>
          <w:sz w:val="24"/>
          <w:szCs w:val="24"/>
          <w:lang w:val="en-US"/>
        </w:rPr>
        <w:tab/>
      </w:r>
      <w:hyperlink r:id="rId20" w:history="1">
        <w:r w:rsidRPr="00E97D07">
          <w:rPr>
            <w:rStyle w:val="Hyperlink"/>
            <w:rFonts w:ascii="Arial" w:hAnsi="Arial" w:cs="Arial"/>
            <w:bCs/>
            <w:i/>
            <w:iCs/>
            <w:sz w:val="24"/>
            <w:szCs w:val="24"/>
            <w:lang w:val="en-US"/>
          </w:rPr>
          <w:t>LNCT/</w:t>
        </w:r>
        <w:r w:rsidR="00E97D07" w:rsidRPr="00E97D07">
          <w:rPr>
            <w:rStyle w:val="Hyperlink"/>
            <w:rFonts w:ascii="Arial" w:hAnsi="Arial" w:cs="Arial"/>
            <w:bCs/>
            <w:i/>
            <w:iCs/>
            <w:sz w:val="24"/>
            <w:szCs w:val="24"/>
            <w:lang w:val="en-US"/>
          </w:rPr>
          <w:t>22/03 Use of Fixed Term Contracts and Transfer to Permanency</w:t>
        </w:r>
      </w:hyperlink>
    </w:p>
    <w:p w14:paraId="1FA58DAC"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The use of a fixed term temporary appointment may be made in the following “</w:t>
      </w:r>
      <w:r w:rsidRPr="00F02B66">
        <w:rPr>
          <w:rFonts w:ascii="Arial" w:hAnsi="Arial" w:cs="Arial"/>
          <w:b/>
          <w:sz w:val="24"/>
          <w:szCs w:val="24"/>
          <w:lang w:val="en-US"/>
        </w:rPr>
        <w:t>long term</w:t>
      </w:r>
      <w:r w:rsidRPr="00F02B66">
        <w:rPr>
          <w:rFonts w:ascii="Arial" w:hAnsi="Arial" w:cs="Arial"/>
          <w:sz w:val="24"/>
          <w:szCs w:val="24"/>
          <w:lang w:val="en-US"/>
        </w:rPr>
        <w:t>” circumstances:</w:t>
      </w:r>
    </w:p>
    <w:p w14:paraId="2D38C2FF" w14:textId="77777777" w:rsidR="00F02B66" w:rsidRPr="00F02B66" w:rsidRDefault="00F02B66" w:rsidP="00F02B66">
      <w:pPr>
        <w:numPr>
          <w:ilvl w:val="0"/>
          <w:numId w:val="6"/>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Family leave - Maternity leave, Paternal leave, Adoption leave</w:t>
      </w:r>
    </w:p>
    <w:p w14:paraId="759D7D5C" w14:textId="77777777" w:rsidR="00F02B66" w:rsidRPr="00F02B66" w:rsidRDefault="00F02B66" w:rsidP="00F02B66">
      <w:pPr>
        <w:numPr>
          <w:ilvl w:val="0"/>
          <w:numId w:val="6"/>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Career break, Secondments, Sabbaticals</w:t>
      </w:r>
    </w:p>
    <w:p w14:paraId="35DF32A0" w14:textId="77777777" w:rsidR="00F02B66" w:rsidRPr="00F02B66" w:rsidRDefault="00F02B66" w:rsidP="00F02B66">
      <w:pPr>
        <w:numPr>
          <w:ilvl w:val="0"/>
          <w:numId w:val="6"/>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Long term sickness absence</w:t>
      </w:r>
    </w:p>
    <w:p w14:paraId="4EA5F5DF" w14:textId="77777777" w:rsidR="00F02B66" w:rsidRPr="00F02B66" w:rsidRDefault="00F02B66" w:rsidP="00F02B66">
      <w:pPr>
        <w:numPr>
          <w:ilvl w:val="0"/>
          <w:numId w:val="6"/>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Staffing from time limited funding</w:t>
      </w:r>
    </w:p>
    <w:p w14:paraId="4FD64C5E" w14:textId="77777777" w:rsidR="00F02B66" w:rsidRPr="00F02B66" w:rsidRDefault="00F02B66" w:rsidP="00F02B66">
      <w:pPr>
        <w:numPr>
          <w:ilvl w:val="0"/>
          <w:numId w:val="6"/>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Pattern of recurrent work</w:t>
      </w:r>
    </w:p>
    <w:p w14:paraId="6B3CA29D" w14:textId="477BAE58" w:rsidR="00F02B66" w:rsidRDefault="00F02B66" w:rsidP="00F02B66">
      <w:pPr>
        <w:numPr>
          <w:ilvl w:val="0"/>
          <w:numId w:val="6"/>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During the course of the school year a rise in a Primary school roll may change the banding and therefore an additional teacher be required. If the school roll is expected to fall back to its previous banding for the new school year, then a fixed term contract may be issued until the end of the school year.</w:t>
      </w:r>
    </w:p>
    <w:p w14:paraId="6EDC34F1" w14:textId="77777777" w:rsidR="00D26D4B" w:rsidRPr="00F02B66" w:rsidRDefault="00D26D4B" w:rsidP="00D26D4B">
      <w:pPr>
        <w:spacing w:after="100" w:afterAutospacing="1"/>
        <w:contextualSpacing/>
        <w:jc w:val="both"/>
        <w:rPr>
          <w:rFonts w:ascii="Arial" w:hAnsi="Arial" w:cs="Arial"/>
          <w:sz w:val="24"/>
          <w:szCs w:val="24"/>
          <w:lang w:val="en-US"/>
        </w:rPr>
      </w:pPr>
    </w:p>
    <w:p w14:paraId="10375387"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Fixed term contracts should also be issued for “</w:t>
      </w:r>
      <w:r w:rsidRPr="00F02B66">
        <w:rPr>
          <w:rFonts w:ascii="Arial" w:hAnsi="Arial" w:cs="Arial"/>
          <w:b/>
          <w:sz w:val="24"/>
          <w:szCs w:val="24"/>
          <w:lang w:val="en-US"/>
        </w:rPr>
        <w:t>short term</w:t>
      </w:r>
      <w:r w:rsidRPr="00F02B66">
        <w:rPr>
          <w:rFonts w:ascii="Arial" w:hAnsi="Arial" w:cs="Arial"/>
          <w:sz w:val="24"/>
          <w:szCs w:val="24"/>
          <w:lang w:val="en-US"/>
        </w:rPr>
        <w:t xml:space="preserve">” unplanned absences when the period of work they are engaged for is known at the </w:t>
      </w:r>
      <w:r w:rsidRPr="00F02B66">
        <w:rPr>
          <w:rFonts w:ascii="Arial" w:hAnsi="Arial" w:cs="Arial"/>
          <w:sz w:val="24"/>
          <w:szCs w:val="24"/>
          <w:u w:val="single"/>
          <w:lang w:val="en-US"/>
        </w:rPr>
        <w:t xml:space="preserve">outset </w:t>
      </w:r>
      <w:r w:rsidRPr="00F02B66">
        <w:rPr>
          <w:rFonts w:ascii="Arial" w:hAnsi="Arial" w:cs="Arial"/>
          <w:sz w:val="24"/>
          <w:szCs w:val="24"/>
          <w:lang w:val="en-US"/>
        </w:rPr>
        <w:t xml:space="preserve">to be greater than 2 days in duration </w:t>
      </w:r>
      <w:r w:rsidRPr="00F02B66">
        <w:rPr>
          <w:rFonts w:ascii="Arial" w:hAnsi="Arial" w:cs="Arial"/>
          <w:b/>
          <w:sz w:val="24"/>
          <w:szCs w:val="24"/>
          <w:lang w:val="en-US"/>
        </w:rPr>
        <w:t xml:space="preserve">or </w:t>
      </w:r>
      <w:r w:rsidRPr="00F02B66">
        <w:rPr>
          <w:rFonts w:ascii="Arial" w:hAnsi="Arial" w:cs="Arial"/>
          <w:sz w:val="24"/>
          <w:szCs w:val="24"/>
          <w:lang w:val="en-US"/>
        </w:rPr>
        <w:t>where the short-term supply engagement has lasted beyond the single, continuous period of cover of 2 days.  For the “short term” circumstances, fixed term contracts should also be used instead of supply as follows:</w:t>
      </w:r>
    </w:p>
    <w:p w14:paraId="358C2A80" w14:textId="77777777" w:rsidR="00F02B66" w:rsidRPr="00F02B66" w:rsidRDefault="00F02B66" w:rsidP="00F02B66">
      <w:pPr>
        <w:numPr>
          <w:ilvl w:val="0"/>
          <w:numId w:val="7"/>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Where a part time Teacher is engaged for additional days to teach their class or classes.</w:t>
      </w:r>
    </w:p>
    <w:p w14:paraId="5D473CC7" w14:textId="77777777" w:rsidR="00F02B66" w:rsidRPr="00F02B66" w:rsidRDefault="00F02B66" w:rsidP="00F02B66">
      <w:pPr>
        <w:numPr>
          <w:ilvl w:val="0"/>
          <w:numId w:val="7"/>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To avoid pupils being taught by short term supply teachers for more than 2 days during an absence. The ‘2-day rule’ applies to the absence rather than the engagement of the individual supply teacher.</w:t>
      </w:r>
    </w:p>
    <w:p w14:paraId="10F374B0"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 xml:space="preserve">The Head Teacher may, in exceptional circumstances, </w:t>
      </w:r>
      <w:proofErr w:type="spellStart"/>
      <w:r w:rsidRPr="00F02B66">
        <w:rPr>
          <w:rFonts w:ascii="Arial" w:hAnsi="Arial" w:cs="Arial"/>
          <w:sz w:val="24"/>
          <w:szCs w:val="24"/>
          <w:lang w:val="en-US"/>
        </w:rPr>
        <w:t>authorise</w:t>
      </w:r>
      <w:proofErr w:type="spellEnd"/>
      <w:r w:rsidRPr="00F02B66">
        <w:rPr>
          <w:rFonts w:ascii="Arial" w:hAnsi="Arial" w:cs="Arial"/>
          <w:sz w:val="24"/>
          <w:szCs w:val="24"/>
          <w:lang w:val="en-US"/>
        </w:rPr>
        <w:t xml:space="preserve"> engagement on a fixed term contract before the engagement extends to 5 days</w:t>
      </w:r>
    </w:p>
    <w:p w14:paraId="5F65F299" w14:textId="05D399DE" w:rsidR="00F02B66" w:rsidRPr="00F02B66" w:rsidRDefault="00F02B66" w:rsidP="00F02B66">
      <w:pPr>
        <w:spacing w:after="100" w:afterAutospacing="1"/>
        <w:jc w:val="both"/>
        <w:rPr>
          <w:rFonts w:ascii="Arial" w:hAnsi="Arial" w:cs="Arial"/>
          <w:bCs/>
          <w:i/>
          <w:iCs/>
          <w:color w:val="004289"/>
          <w:sz w:val="24"/>
          <w:szCs w:val="24"/>
          <w:lang w:val="en-US"/>
        </w:rPr>
      </w:pPr>
      <w:r w:rsidRPr="00F02B66">
        <w:rPr>
          <w:rFonts w:ascii="Arial" w:hAnsi="Arial" w:cs="Arial"/>
          <w:bCs/>
          <w:i/>
          <w:iCs/>
          <w:color w:val="004289"/>
          <w:sz w:val="24"/>
          <w:szCs w:val="24"/>
          <w:lang w:val="en-US"/>
        </w:rPr>
        <w:t>1.4</w:t>
      </w:r>
      <w:r w:rsidRPr="00F02B66">
        <w:rPr>
          <w:rFonts w:ascii="Arial" w:hAnsi="Arial" w:cs="Arial"/>
          <w:bCs/>
          <w:i/>
          <w:iCs/>
          <w:color w:val="004289"/>
          <w:sz w:val="24"/>
          <w:szCs w:val="24"/>
          <w:lang w:val="en-US"/>
        </w:rPr>
        <w:tab/>
      </w:r>
      <w:hyperlink r:id="rId21" w:history="1">
        <w:r w:rsidR="00E97D07" w:rsidRPr="00E97D07">
          <w:rPr>
            <w:rStyle w:val="Hyperlink"/>
            <w:rFonts w:ascii="Arial" w:hAnsi="Arial" w:cs="Arial"/>
            <w:bCs/>
            <w:i/>
            <w:iCs/>
            <w:sz w:val="24"/>
            <w:szCs w:val="24"/>
            <w:lang w:val="en-US"/>
          </w:rPr>
          <w:t>LNCT/22/08 Agreement on Short Term Supply</w:t>
        </w:r>
      </w:hyperlink>
    </w:p>
    <w:p w14:paraId="6518BAEF"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The SNCT has agreed changes in relation to teachers engaged on a supply basis; these changes include the way in which Supply Teachers are engaged, the hours of employment, the duties they are required to perform, and the salary point they are paid (Point 1).</w:t>
      </w:r>
    </w:p>
    <w:p w14:paraId="00C85D7C"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 xml:space="preserve">Teachers should be employed on short term supply where the engagement is required and agreed on a </w:t>
      </w:r>
      <w:r w:rsidRPr="00F02B66">
        <w:rPr>
          <w:rFonts w:ascii="Arial" w:hAnsi="Arial" w:cs="Arial"/>
          <w:b/>
          <w:sz w:val="24"/>
          <w:szCs w:val="24"/>
          <w:lang w:val="en-US"/>
        </w:rPr>
        <w:t xml:space="preserve">daily basis.  </w:t>
      </w:r>
      <w:r w:rsidRPr="00F02B66">
        <w:rPr>
          <w:rFonts w:ascii="Arial" w:hAnsi="Arial" w:cs="Arial"/>
          <w:sz w:val="24"/>
          <w:szCs w:val="24"/>
          <w:lang w:val="en-US"/>
        </w:rPr>
        <w:t xml:space="preserve">This period of work must be </w:t>
      </w:r>
      <w:r w:rsidRPr="00F02B66">
        <w:rPr>
          <w:rFonts w:ascii="Arial" w:hAnsi="Arial" w:cs="Arial"/>
          <w:sz w:val="24"/>
          <w:szCs w:val="24"/>
          <w:u w:val="single"/>
          <w:lang w:val="en-US"/>
        </w:rPr>
        <w:t>2 days or fewer</w:t>
      </w:r>
      <w:r w:rsidRPr="00F02B66">
        <w:rPr>
          <w:rFonts w:ascii="Arial" w:hAnsi="Arial" w:cs="Arial"/>
          <w:sz w:val="24"/>
          <w:szCs w:val="24"/>
          <w:lang w:val="en-US"/>
        </w:rPr>
        <w:t>,</w:t>
      </w:r>
      <w:r w:rsidRPr="00F02B66">
        <w:rPr>
          <w:rFonts w:ascii="Arial" w:hAnsi="Arial" w:cs="Arial"/>
          <w:sz w:val="24"/>
          <w:szCs w:val="24"/>
          <w:u w:val="single"/>
          <w:lang w:val="en-US"/>
        </w:rPr>
        <w:t xml:space="preserve"> </w:t>
      </w:r>
      <w:r w:rsidRPr="00F02B66">
        <w:rPr>
          <w:rFonts w:ascii="Arial" w:hAnsi="Arial" w:cs="Arial"/>
          <w:sz w:val="24"/>
          <w:szCs w:val="24"/>
          <w:lang w:val="en-US"/>
        </w:rPr>
        <w:t xml:space="preserve">with short term supply teachers expected to undertake a reduced range of duties,  </w:t>
      </w:r>
    </w:p>
    <w:p w14:paraId="21B71EC9" w14:textId="2A167D2F" w:rsid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Before any engagement, teachers must be informed that the offer of work is on a Supply basis.</w:t>
      </w:r>
    </w:p>
    <w:p w14:paraId="0924DC77" w14:textId="7974D061" w:rsidR="00F02B66" w:rsidRPr="00F02B66" w:rsidRDefault="00F02B66" w:rsidP="00F02B66">
      <w:pPr>
        <w:spacing w:after="100" w:afterAutospacing="1"/>
        <w:jc w:val="both"/>
        <w:rPr>
          <w:rFonts w:ascii="Arial" w:hAnsi="Arial" w:cs="Arial"/>
          <w:bCs/>
          <w:i/>
          <w:iCs/>
          <w:color w:val="004289"/>
          <w:sz w:val="24"/>
          <w:szCs w:val="24"/>
          <w:lang w:val="en-US"/>
        </w:rPr>
      </w:pPr>
      <w:r w:rsidRPr="00F02B66">
        <w:rPr>
          <w:rFonts w:ascii="Arial" w:hAnsi="Arial" w:cs="Arial"/>
          <w:bCs/>
          <w:i/>
          <w:iCs/>
          <w:color w:val="004289"/>
          <w:sz w:val="24"/>
          <w:szCs w:val="24"/>
          <w:lang w:val="en-US"/>
        </w:rPr>
        <w:lastRenderedPageBreak/>
        <w:t>1.5</w:t>
      </w:r>
      <w:r w:rsidRPr="00F02B66">
        <w:rPr>
          <w:rFonts w:ascii="Arial" w:hAnsi="Arial" w:cs="Arial"/>
          <w:bCs/>
          <w:i/>
          <w:iCs/>
          <w:color w:val="004289"/>
          <w:sz w:val="24"/>
          <w:szCs w:val="24"/>
          <w:lang w:val="en-US"/>
        </w:rPr>
        <w:tab/>
      </w:r>
      <w:hyperlink r:id="rId22" w:history="1">
        <w:r w:rsidR="00E97D07">
          <w:rPr>
            <w:rStyle w:val="Hyperlink"/>
            <w:rFonts w:ascii="Arial" w:hAnsi="Arial" w:cs="Arial"/>
            <w:bCs/>
            <w:i/>
            <w:iCs/>
            <w:sz w:val="24"/>
            <w:szCs w:val="24"/>
            <w:lang w:val="en-US"/>
          </w:rPr>
          <w:t>LNCT/21/34 Recruitment &amp; Selection of Acting HT, DHT &amp; PT Vacancies</w:t>
        </w:r>
      </w:hyperlink>
      <w:r w:rsidRPr="00F02B66">
        <w:rPr>
          <w:rFonts w:ascii="Arial" w:hAnsi="Arial" w:cs="Arial"/>
          <w:bCs/>
          <w:i/>
          <w:iCs/>
          <w:color w:val="004289"/>
          <w:sz w:val="24"/>
          <w:szCs w:val="24"/>
          <w:lang w:val="en-US"/>
        </w:rPr>
        <w:t xml:space="preserve"> &amp; </w:t>
      </w:r>
      <w:hyperlink r:id="rId23" w:history="1">
        <w:r w:rsidRPr="00E97D07">
          <w:rPr>
            <w:rStyle w:val="Hyperlink"/>
            <w:rFonts w:ascii="Arial" w:hAnsi="Arial" w:cs="Arial"/>
            <w:bCs/>
            <w:i/>
            <w:iCs/>
            <w:sz w:val="24"/>
            <w:szCs w:val="24"/>
            <w:lang w:val="en-US"/>
          </w:rPr>
          <w:t>LNCT/</w:t>
        </w:r>
        <w:r w:rsidR="00E97D07" w:rsidRPr="00E97D07">
          <w:rPr>
            <w:rStyle w:val="Hyperlink"/>
            <w:rFonts w:ascii="Arial" w:hAnsi="Arial" w:cs="Arial"/>
            <w:bCs/>
            <w:i/>
            <w:iCs/>
            <w:sz w:val="24"/>
            <w:szCs w:val="24"/>
            <w:lang w:val="en-US"/>
          </w:rPr>
          <w:t>22/14 Guidance for Teachers Temporarily Undertaking a Post of Higher Responsibility (Acting Up)</w:t>
        </w:r>
      </w:hyperlink>
    </w:p>
    <w:p w14:paraId="662A7F3B"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Acting Up arrangements are often required to cover for absences, secondments etc. and, where they are expected to last beyond 20 days, will be subject to a fixed term contract.</w:t>
      </w:r>
    </w:p>
    <w:p w14:paraId="075FF342"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There are also particular arrangements relating to HT cover including for those Primary schools without a Senior Management Team where a “nominated person” will Act Up in the HT’s absence from school.</w:t>
      </w:r>
    </w:p>
    <w:p w14:paraId="3CC15F8F" w14:textId="77777777" w:rsidR="00F02B66" w:rsidRPr="00F02B66" w:rsidRDefault="00F02B66" w:rsidP="00F02B66">
      <w:pPr>
        <w:spacing w:after="100" w:afterAutospacing="1"/>
        <w:jc w:val="both"/>
        <w:rPr>
          <w:rFonts w:ascii="Arial" w:hAnsi="Arial" w:cs="Arial"/>
          <w:bCs/>
          <w:i/>
          <w:iCs/>
          <w:color w:val="004289"/>
          <w:sz w:val="24"/>
          <w:szCs w:val="24"/>
          <w:lang w:val="en-US"/>
        </w:rPr>
      </w:pPr>
      <w:r w:rsidRPr="00F02B66">
        <w:rPr>
          <w:rFonts w:ascii="Arial" w:hAnsi="Arial" w:cs="Arial"/>
          <w:bCs/>
          <w:i/>
          <w:iCs/>
          <w:color w:val="004289"/>
          <w:sz w:val="24"/>
          <w:szCs w:val="24"/>
          <w:lang w:val="en-US"/>
        </w:rPr>
        <w:t>1.6</w:t>
      </w:r>
      <w:r w:rsidRPr="00F02B66">
        <w:rPr>
          <w:rFonts w:ascii="Arial" w:hAnsi="Arial" w:cs="Arial"/>
          <w:bCs/>
          <w:i/>
          <w:iCs/>
          <w:color w:val="004289"/>
          <w:sz w:val="24"/>
          <w:szCs w:val="24"/>
          <w:lang w:val="en-US"/>
        </w:rPr>
        <w:tab/>
        <w:t>Appointment of PT Faculty when Faculty is first created.</w:t>
      </w:r>
    </w:p>
    <w:p w14:paraId="617BD1C1"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When the job description has been validated and the job-sizing exercise completed, the head teacher will advertise the post internally to the PT(s) of the subject(s) that will make up the faculty.  Where one or more of the PTs submits an application, interviews will take place in accordance with policy and practices of the Council.  The successful candidate should be appointed.</w:t>
      </w:r>
    </w:p>
    <w:p w14:paraId="662ACD06"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It should be noted that, in the first instance, the position of PT (faculty) is “ring fenced” for substantive PTs (subject) within the faculty grouping.</w:t>
      </w:r>
    </w:p>
    <w:p w14:paraId="13085F4F"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In situations where none of the PTs within the proposed faculty applied for the post, or on occasions when none of the internal candidates are considered suitable following interview, the post will then be advertised externally following the normal recruitment and selection procedures of the Council.</w:t>
      </w:r>
    </w:p>
    <w:p w14:paraId="1BAA60EE" w14:textId="77777777" w:rsidR="00F02B66" w:rsidRPr="00F02B66" w:rsidRDefault="00F02B66" w:rsidP="00F02B66">
      <w:pPr>
        <w:spacing w:after="100" w:afterAutospacing="1"/>
        <w:jc w:val="both"/>
        <w:rPr>
          <w:rFonts w:ascii="Arial" w:hAnsi="Arial" w:cs="Arial"/>
          <w:bCs/>
          <w:i/>
          <w:iCs/>
          <w:color w:val="004289"/>
          <w:sz w:val="24"/>
          <w:szCs w:val="24"/>
          <w:lang w:val="en-US"/>
        </w:rPr>
      </w:pPr>
      <w:r w:rsidRPr="00F02B66">
        <w:rPr>
          <w:rFonts w:ascii="Arial" w:hAnsi="Arial" w:cs="Arial"/>
          <w:bCs/>
          <w:i/>
          <w:iCs/>
          <w:color w:val="004289"/>
          <w:sz w:val="24"/>
          <w:szCs w:val="24"/>
          <w:lang w:val="en-US"/>
        </w:rPr>
        <w:t>1.7</w:t>
      </w:r>
      <w:r w:rsidRPr="00F02B66">
        <w:rPr>
          <w:rFonts w:ascii="Arial" w:hAnsi="Arial" w:cs="Arial"/>
          <w:bCs/>
          <w:i/>
          <w:iCs/>
          <w:color w:val="004289"/>
          <w:sz w:val="24"/>
          <w:szCs w:val="24"/>
          <w:lang w:val="en-US"/>
        </w:rPr>
        <w:tab/>
        <w:t>Changes to Faculty Structure – appointment procedures</w:t>
      </w:r>
    </w:p>
    <w:p w14:paraId="7255584F"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The 2004 Guidelines set out consultation processes for setting up a faculty structure and any proposed change should be subject to school level consultation.  The Guidelines also made clear new Faculty posts should not be set up where the job size was above the upper limit for PT salary point 8 of 196 points to ensure no unmanageable posts were set up.  In practice, this limit only impacts on our larger schools and LNCT Joint Secretaries have agreed posts where the limit was marginally exceeded.</w:t>
      </w:r>
    </w:p>
    <w:p w14:paraId="4F29C456"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 xml:space="preserve">The original guidance set our procedures for creating a faculty.  If a PT Faculty leaves and there is no change to the faculty structure, then it is simply an open recruitment process; where a change to the faculty structure is to occur then there are a number of new issues.  A proposed new Faculty may contain existing PTFs, existing PT Subjects and “legacy” </w:t>
      </w:r>
      <w:proofErr w:type="spellStart"/>
      <w:r w:rsidRPr="00F02B66">
        <w:rPr>
          <w:rFonts w:ascii="Arial" w:hAnsi="Arial" w:cs="Arial"/>
          <w:sz w:val="24"/>
          <w:szCs w:val="24"/>
          <w:lang w:val="en-US"/>
        </w:rPr>
        <w:t>PTs.</w:t>
      </w:r>
      <w:proofErr w:type="spellEnd"/>
    </w:p>
    <w:p w14:paraId="105DF7FA" w14:textId="77777777" w:rsidR="00F02B66" w:rsidRPr="00F02B66" w:rsidRDefault="00F02B66" w:rsidP="00F02B66">
      <w:pPr>
        <w:numPr>
          <w:ilvl w:val="0"/>
          <w:numId w:val="7"/>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The PTF was set up as the “generic manager” of a curricular area and is not a subject specialist in all areas.  It is difficult to see that the addition of another subject area changes that job other than a potential job resizing.  The PTFs therefore form a “matched pool” for the new post.</w:t>
      </w:r>
    </w:p>
    <w:p w14:paraId="7FFEF866" w14:textId="77777777" w:rsidR="00F02B66" w:rsidRPr="00F02B66" w:rsidRDefault="00F02B66" w:rsidP="00F02B66">
      <w:pPr>
        <w:numPr>
          <w:ilvl w:val="0"/>
          <w:numId w:val="8"/>
        </w:numPr>
        <w:spacing w:after="100" w:afterAutospacing="1"/>
        <w:jc w:val="both"/>
        <w:rPr>
          <w:rFonts w:ascii="Arial" w:hAnsi="Arial" w:cs="Arial"/>
          <w:sz w:val="24"/>
          <w:szCs w:val="24"/>
          <w:lang w:val="en-US"/>
        </w:rPr>
      </w:pPr>
      <w:r w:rsidRPr="00F02B66">
        <w:rPr>
          <w:rFonts w:ascii="Arial" w:hAnsi="Arial" w:cs="Arial"/>
          <w:sz w:val="24"/>
          <w:szCs w:val="24"/>
          <w:lang w:val="en-US"/>
        </w:rPr>
        <w:t xml:space="preserve">The PT Subject would not have been previously considered for a PTF post and should now, for the first time, be given that opportunity.  An interview should be </w:t>
      </w:r>
      <w:r w:rsidRPr="00F02B66">
        <w:rPr>
          <w:rFonts w:ascii="Arial" w:hAnsi="Arial" w:cs="Arial"/>
          <w:sz w:val="24"/>
          <w:szCs w:val="24"/>
          <w:lang w:val="en-US"/>
        </w:rPr>
        <w:lastRenderedPageBreak/>
        <w:t>offered to PT Subjects to determine whether they should join the matched pool or not for the PTF post.</w:t>
      </w:r>
    </w:p>
    <w:p w14:paraId="738C654D" w14:textId="77777777" w:rsidR="00F02B66" w:rsidRPr="00F02B66" w:rsidRDefault="00F02B66" w:rsidP="00F02B66">
      <w:pPr>
        <w:numPr>
          <w:ilvl w:val="0"/>
          <w:numId w:val="8"/>
        </w:numPr>
        <w:spacing w:after="100" w:afterAutospacing="1"/>
        <w:jc w:val="both"/>
        <w:rPr>
          <w:rFonts w:ascii="Arial" w:hAnsi="Arial" w:cs="Arial"/>
          <w:sz w:val="24"/>
          <w:szCs w:val="24"/>
          <w:lang w:val="en-US"/>
        </w:rPr>
      </w:pPr>
      <w:r w:rsidRPr="00F02B66">
        <w:rPr>
          <w:rFonts w:ascii="Arial" w:hAnsi="Arial" w:cs="Arial"/>
          <w:sz w:val="24"/>
          <w:szCs w:val="24"/>
          <w:lang w:val="en-US"/>
        </w:rPr>
        <w:t>“Legacy PTs” are personal posts that will cease to exist when the postholder leaves. The remit is a curricular one and they are not subject to resizing on their new reduced duties. They have no further rights to be considered for recruitment for the new PTF position (other than if it goes to open advert).</w:t>
      </w:r>
    </w:p>
    <w:p w14:paraId="6C172BBD"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Applying the principles of the 2004 document:</w:t>
      </w:r>
    </w:p>
    <w:p w14:paraId="4FF5D9BC" w14:textId="77777777" w:rsidR="00F02B66" w:rsidRPr="00F02B66" w:rsidRDefault="00F02B66" w:rsidP="00F02B66">
      <w:pPr>
        <w:numPr>
          <w:ilvl w:val="0"/>
          <w:numId w:val="4"/>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The new PTF should be initially ring-fenced for all substantive PTFs and PT Subjects who make up the new Faculty.</w:t>
      </w:r>
    </w:p>
    <w:p w14:paraId="25AEE6AD" w14:textId="77777777" w:rsidR="00F02B66" w:rsidRPr="00F02B66" w:rsidRDefault="00F02B66" w:rsidP="00F02B66">
      <w:pPr>
        <w:numPr>
          <w:ilvl w:val="0"/>
          <w:numId w:val="4"/>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PTFs would form a matched pool and PT Subjects would be offered an interview to determine if they would join the matched pool or not.</w:t>
      </w:r>
    </w:p>
    <w:p w14:paraId="41D44B79" w14:textId="77777777" w:rsidR="00F02B66" w:rsidRPr="00F02B66" w:rsidRDefault="00F02B66" w:rsidP="00F02B66">
      <w:pPr>
        <w:numPr>
          <w:ilvl w:val="0"/>
          <w:numId w:val="4"/>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Where the matched pool is one person they are automatically matched to the post.</w:t>
      </w:r>
    </w:p>
    <w:p w14:paraId="08602585" w14:textId="77777777" w:rsidR="00F02B66" w:rsidRPr="00F02B66" w:rsidRDefault="00F02B66" w:rsidP="00F02B66">
      <w:pPr>
        <w:numPr>
          <w:ilvl w:val="0"/>
          <w:numId w:val="4"/>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Where the matched pool is more than one person then there is a competitive interview to determine which of the matched candidates is to be appointed.</w:t>
      </w:r>
    </w:p>
    <w:p w14:paraId="6B8C1A82" w14:textId="77777777" w:rsidR="00F02B66" w:rsidRPr="00F02B66" w:rsidRDefault="00F02B66" w:rsidP="00F02B66">
      <w:pPr>
        <w:numPr>
          <w:ilvl w:val="0"/>
          <w:numId w:val="4"/>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It is only where there is no-one in the matched pool that the post should go to advert.</w:t>
      </w:r>
    </w:p>
    <w:p w14:paraId="78E1DA18" w14:textId="0EE4BFF9" w:rsidR="00F02B66" w:rsidRPr="00F02B66" w:rsidRDefault="00F02B66" w:rsidP="00F02B66">
      <w:pPr>
        <w:numPr>
          <w:ilvl w:val="0"/>
          <w:numId w:val="4"/>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Any unsuccessful PTF or PT Subject would become legacy PTs with the same protection as set out in the</w:t>
      </w:r>
      <w:hyperlink r:id="rId24">
        <w:r w:rsidRPr="00F02B66">
          <w:rPr>
            <w:rFonts w:ascii="Arial" w:hAnsi="Arial" w:cs="Arial"/>
            <w:color w:val="0563C1" w:themeColor="hyperlink"/>
            <w:sz w:val="24"/>
            <w:szCs w:val="24"/>
            <w:u w:val="single"/>
            <w:lang w:val="en-US"/>
          </w:rPr>
          <w:t xml:space="preserve"> FAQs</w:t>
        </w:r>
      </w:hyperlink>
      <w:r w:rsidRPr="00F02B66">
        <w:rPr>
          <w:rFonts w:ascii="Arial" w:hAnsi="Arial" w:cs="Arial"/>
          <w:sz w:val="24"/>
          <w:szCs w:val="24"/>
          <w:u w:val="single"/>
          <w:lang w:val="en-US"/>
        </w:rPr>
        <w:t xml:space="preserve"> </w:t>
      </w:r>
      <w:r w:rsidRPr="00F02B66">
        <w:rPr>
          <w:rFonts w:ascii="Arial" w:hAnsi="Arial" w:cs="Arial"/>
          <w:sz w:val="24"/>
          <w:szCs w:val="24"/>
          <w:lang w:val="en-US"/>
        </w:rPr>
        <w:t>– the post would not be subject to resizing on their new reduced duties.  They would continue with a remit set out in the</w:t>
      </w:r>
      <w:r w:rsidRPr="00F02B66">
        <w:rPr>
          <w:rFonts w:ascii="Arial" w:hAnsi="Arial" w:cs="Arial"/>
          <w:sz w:val="24"/>
          <w:szCs w:val="24"/>
          <w:u w:val="single"/>
          <w:lang w:val="en-US"/>
        </w:rPr>
        <w:t xml:space="preserve"> </w:t>
      </w:r>
      <w:hyperlink r:id="rId25">
        <w:r w:rsidRPr="00F02B66">
          <w:rPr>
            <w:rFonts w:ascii="Arial" w:hAnsi="Arial" w:cs="Arial"/>
            <w:color w:val="0563C1" w:themeColor="hyperlink"/>
            <w:sz w:val="24"/>
            <w:szCs w:val="24"/>
            <w:u w:val="single"/>
            <w:lang w:val="en-US"/>
          </w:rPr>
          <w:t>PT Subject job description</w:t>
        </w:r>
      </w:hyperlink>
      <w:r w:rsidRPr="00F02B66">
        <w:rPr>
          <w:rFonts w:ascii="Arial" w:hAnsi="Arial" w:cs="Arial"/>
          <w:sz w:val="24"/>
          <w:szCs w:val="24"/>
          <w:lang w:val="en-US"/>
        </w:rPr>
        <w:t xml:space="preserve"> which is based on curricular responsibility and no line management responsibility.</w:t>
      </w:r>
    </w:p>
    <w:p w14:paraId="33A05666" w14:textId="48C6A516" w:rsidR="00F02B66" w:rsidRPr="00A42235" w:rsidRDefault="00F02B66" w:rsidP="00A42235">
      <w:pPr>
        <w:pStyle w:val="Heading1"/>
        <w:numPr>
          <w:ilvl w:val="0"/>
          <w:numId w:val="10"/>
        </w:numPr>
        <w:ind w:left="567" w:hanging="567"/>
        <w:rPr>
          <w:rFonts w:ascii="Arial" w:hAnsi="Arial" w:cs="Arial"/>
          <w:b/>
          <w:bCs/>
          <w:color w:val="004289"/>
          <w:sz w:val="28"/>
          <w:szCs w:val="28"/>
          <w:lang w:val="en-US"/>
        </w:rPr>
      </w:pPr>
      <w:r w:rsidRPr="00A42235">
        <w:rPr>
          <w:rFonts w:ascii="Arial" w:hAnsi="Arial" w:cs="Arial"/>
          <w:b/>
          <w:bCs/>
          <w:color w:val="004289"/>
          <w:sz w:val="28"/>
          <w:szCs w:val="28"/>
          <w:lang w:val="en-US"/>
        </w:rPr>
        <w:t>Transfers</w:t>
      </w:r>
    </w:p>
    <w:p w14:paraId="62072FEE" w14:textId="77777777" w:rsidR="00A42235" w:rsidRPr="00A42235" w:rsidRDefault="00A42235" w:rsidP="00A42235">
      <w:pPr>
        <w:rPr>
          <w:lang w:val="en-US"/>
        </w:rPr>
      </w:pPr>
    </w:p>
    <w:p w14:paraId="291F4433" w14:textId="4540980E" w:rsidR="00F02B66" w:rsidRPr="00F02B66" w:rsidRDefault="00F02B66" w:rsidP="00F02B66">
      <w:pPr>
        <w:spacing w:after="100" w:afterAutospacing="1"/>
        <w:jc w:val="both"/>
        <w:rPr>
          <w:rFonts w:ascii="Arial" w:hAnsi="Arial" w:cs="Arial"/>
          <w:bCs/>
          <w:i/>
          <w:iCs/>
          <w:color w:val="004289"/>
          <w:sz w:val="24"/>
          <w:szCs w:val="24"/>
          <w:lang w:val="en-US"/>
        </w:rPr>
      </w:pPr>
      <w:r w:rsidRPr="00F02B66">
        <w:rPr>
          <w:rFonts w:ascii="Arial" w:hAnsi="Arial" w:cs="Arial"/>
          <w:bCs/>
          <w:i/>
          <w:iCs/>
          <w:color w:val="004289"/>
          <w:sz w:val="24"/>
          <w:szCs w:val="24"/>
          <w:lang w:val="en-US"/>
        </w:rPr>
        <w:t>2.1</w:t>
      </w:r>
      <w:r w:rsidRPr="00F02B66">
        <w:rPr>
          <w:rFonts w:ascii="Arial" w:hAnsi="Arial" w:cs="Arial"/>
          <w:bCs/>
          <w:i/>
          <w:iCs/>
          <w:color w:val="004289"/>
          <w:sz w:val="24"/>
          <w:szCs w:val="24"/>
          <w:lang w:val="en-US"/>
        </w:rPr>
        <w:tab/>
      </w:r>
      <w:hyperlink r:id="rId26" w:history="1">
        <w:r w:rsidRPr="00E97D07">
          <w:rPr>
            <w:rStyle w:val="Hyperlink"/>
            <w:rFonts w:ascii="Arial" w:hAnsi="Arial" w:cs="Arial"/>
            <w:bCs/>
            <w:i/>
            <w:iCs/>
            <w:sz w:val="24"/>
            <w:szCs w:val="24"/>
            <w:lang w:val="en-US"/>
          </w:rPr>
          <w:t>LNCT/</w:t>
        </w:r>
        <w:r w:rsidR="00E97D07" w:rsidRPr="00E97D07">
          <w:rPr>
            <w:rStyle w:val="Hyperlink"/>
            <w:rFonts w:ascii="Arial" w:hAnsi="Arial" w:cs="Arial"/>
            <w:bCs/>
            <w:i/>
            <w:iCs/>
            <w:sz w:val="24"/>
            <w:szCs w:val="24"/>
            <w:lang w:val="en-US"/>
          </w:rPr>
          <w:t>22/03/ Use of Temporary Contracts and Transfer to Permanency</w:t>
        </w:r>
      </w:hyperlink>
    </w:p>
    <w:p w14:paraId="2F881465"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Where a teacher is due to complete two years continuous service for Aberdeenshire then they may apply to be transferred to a permanent contract before the 30</w:t>
      </w:r>
      <w:r w:rsidRPr="00F02B66">
        <w:rPr>
          <w:rFonts w:ascii="Arial" w:hAnsi="Arial" w:cs="Arial"/>
          <w:sz w:val="24"/>
          <w:szCs w:val="24"/>
          <w:vertAlign w:val="superscript"/>
          <w:lang w:val="en-US"/>
        </w:rPr>
        <w:t>th of</w:t>
      </w:r>
      <w:r w:rsidRPr="00F02B66">
        <w:rPr>
          <w:rFonts w:ascii="Arial" w:hAnsi="Arial" w:cs="Arial"/>
          <w:sz w:val="24"/>
          <w:szCs w:val="24"/>
          <w:lang w:val="en-US"/>
        </w:rPr>
        <w:t xml:space="preserve"> April each year or in good time if their contract is due to end during the course of a school year.</w:t>
      </w:r>
    </w:p>
    <w:p w14:paraId="51100A6A" w14:textId="1D289D47" w:rsidR="00F02B66" w:rsidRPr="00497F17" w:rsidRDefault="00F02B66" w:rsidP="00F02B66">
      <w:pPr>
        <w:spacing w:after="100" w:afterAutospacing="1"/>
        <w:jc w:val="both"/>
        <w:rPr>
          <w:rFonts w:ascii="Arial" w:hAnsi="Arial" w:cs="Arial"/>
          <w:bCs/>
          <w:i/>
          <w:iCs/>
          <w:color w:val="2F5496" w:themeColor="accent1" w:themeShade="BF"/>
          <w:sz w:val="24"/>
          <w:szCs w:val="24"/>
          <w:lang w:val="en-US"/>
        </w:rPr>
      </w:pPr>
      <w:r w:rsidRPr="00497F17">
        <w:rPr>
          <w:rFonts w:ascii="Arial" w:hAnsi="Arial" w:cs="Arial"/>
          <w:bCs/>
          <w:i/>
          <w:iCs/>
          <w:color w:val="2F5496" w:themeColor="accent1" w:themeShade="BF"/>
          <w:sz w:val="24"/>
          <w:szCs w:val="24"/>
          <w:lang w:val="en-US"/>
        </w:rPr>
        <w:t>2.2</w:t>
      </w:r>
      <w:r w:rsidRPr="00497F17">
        <w:rPr>
          <w:rFonts w:ascii="Arial" w:hAnsi="Arial" w:cs="Arial"/>
          <w:bCs/>
          <w:i/>
          <w:iCs/>
          <w:color w:val="2F5496" w:themeColor="accent1" w:themeShade="BF"/>
          <w:sz w:val="24"/>
          <w:szCs w:val="24"/>
          <w:lang w:val="en-US"/>
        </w:rPr>
        <w:tab/>
      </w:r>
      <w:hyperlink r:id="rId27" w:history="1">
        <w:r w:rsidR="007E06B8" w:rsidRPr="000771FA">
          <w:rPr>
            <w:rStyle w:val="Hyperlink"/>
            <w:rFonts w:ascii="Arial" w:hAnsi="Arial" w:cs="Arial"/>
            <w:i/>
            <w:iCs/>
            <w:sz w:val="24"/>
            <w:szCs w:val="24"/>
          </w:rPr>
          <w:t>LNCT/21/20 Job Sharing Scheme for Teachers</w:t>
        </w:r>
      </w:hyperlink>
    </w:p>
    <w:p w14:paraId="6F6C5654"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Where a job share partner leaves, then the remaining partner is entitled to take up the full time post.</w:t>
      </w:r>
    </w:p>
    <w:p w14:paraId="5D8B1386" w14:textId="077A64D7" w:rsidR="00F02B66" w:rsidRPr="00497F17" w:rsidRDefault="00F02B66" w:rsidP="00F02B66">
      <w:pPr>
        <w:spacing w:after="100" w:afterAutospacing="1"/>
        <w:jc w:val="both"/>
        <w:rPr>
          <w:rFonts w:ascii="Arial" w:hAnsi="Arial" w:cs="Arial"/>
          <w:bCs/>
          <w:i/>
          <w:iCs/>
          <w:color w:val="2F5496" w:themeColor="accent1" w:themeShade="BF"/>
          <w:sz w:val="24"/>
          <w:szCs w:val="24"/>
          <w:lang w:val="en-US"/>
        </w:rPr>
      </w:pPr>
      <w:r w:rsidRPr="00497F17">
        <w:rPr>
          <w:rFonts w:ascii="Arial" w:hAnsi="Arial" w:cs="Arial"/>
          <w:bCs/>
          <w:i/>
          <w:iCs/>
          <w:color w:val="2F5496" w:themeColor="accent1" w:themeShade="BF"/>
          <w:sz w:val="24"/>
          <w:szCs w:val="24"/>
          <w:lang w:val="en-US"/>
        </w:rPr>
        <w:t>2.3</w:t>
      </w:r>
      <w:r w:rsidRPr="00497F17">
        <w:rPr>
          <w:rFonts w:ascii="Arial" w:hAnsi="Arial" w:cs="Arial"/>
          <w:bCs/>
          <w:i/>
          <w:iCs/>
          <w:color w:val="2F5496" w:themeColor="accent1" w:themeShade="BF"/>
          <w:sz w:val="24"/>
          <w:szCs w:val="24"/>
          <w:lang w:val="en-US"/>
        </w:rPr>
        <w:tab/>
      </w:r>
      <w:hyperlink r:id="rId28" w:history="1">
        <w:r w:rsidR="007E06B8" w:rsidRPr="000771FA">
          <w:rPr>
            <w:rStyle w:val="Hyperlink"/>
            <w:rFonts w:ascii="Arial" w:hAnsi="Arial" w:cs="Arial"/>
            <w:i/>
            <w:iCs/>
            <w:sz w:val="24"/>
            <w:szCs w:val="24"/>
          </w:rPr>
          <w:t>LNCT/21/19 Excess Teachers – promoted and unpromoted</w:t>
        </w:r>
      </w:hyperlink>
    </w:p>
    <w:p w14:paraId="3B78F584"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Where there is excess staffing in an establishment, this policy may be used to transfer unpromoted teachers.</w:t>
      </w:r>
    </w:p>
    <w:p w14:paraId="1405029E" w14:textId="4B73FF45" w:rsidR="00F02B66" w:rsidRPr="00497F17" w:rsidRDefault="00F02B66" w:rsidP="00F02B66">
      <w:pPr>
        <w:spacing w:after="100" w:afterAutospacing="1"/>
        <w:jc w:val="both"/>
        <w:rPr>
          <w:rFonts w:ascii="Arial" w:hAnsi="Arial" w:cs="Arial"/>
          <w:bCs/>
          <w:i/>
          <w:iCs/>
          <w:color w:val="004289"/>
          <w:sz w:val="24"/>
          <w:szCs w:val="24"/>
          <w:lang w:val="en-US"/>
        </w:rPr>
      </w:pPr>
      <w:r w:rsidRPr="00497F17">
        <w:rPr>
          <w:rFonts w:ascii="Arial" w:hAnsi="Arial" w:cs="Arial"/>
          <w:bCs/>
          <w:i/>
          <w:iCs/>
          <w:color w:val="004289"/>
          <w:sz w:val="24"/>
          <w:szCs w:val="24"/>
          <w:lang w:val="en-US"/>
        </w:rPr>
        <w:t>2.4</w:t>
      </w:r>
      <w:r w:rsidRPr="00497F17">
        <w:rPr>
          <w:rFonts w:ascii="Arial" w:hAnsi="Arial" w:cs="Arial"/>
          <w:bCs/>
          <w:i/>
          <w:iCs/>
          <w:color w:val="004289"/>
          <w:sz w:val="24"/>
          <w:szCs w:val="24"/>
          <w:lang w:val="en-US"/>
        </w:rPr>
        <w:tab/>
      </w:r>
      <w:hyperlink r:id="rId29" w:history="1">
        <w:r w:rsidR="007E06B8" w:rsidRPr="000771FA">
          <w:rPr>
            <w:rStyle w:val="Hyperlink"/>
            <w:rFonts w:ascii="Arial" w:hAnsi="Arial" w:cs="Arial"/>
            <w:bCs/>
            <w:i/>
            <w:iCs/>
            <w:sz w:val="24"/>
            <w:szCs w:val="24"/>
            <w:lang w:val="en-US"/>
          </w:rPr>
          <w:t>LNCT/21/19 Excess Teachers – unpromoted and promoted</w:t>
        </w:r>
      </w:hyperlink>
    </w:p>
    <w:p w14:paraId="1F4215C8" w14:textId="77777777" w:rsidR="00F02B66" w:rsidRPr="00F02B66" w:rsidRDefault="00F02B66" w:rsidP="00F02B66">
      <w:pPr>
        <w:spacing w:after="100" w:afterAutospacing="1"/>
        <w:jc w:val="both"/>
        <w:rPr>
          <w:rFonts w:ascii="Arial" w:hAnsi="Arial" w:cs="Arial"/>
          <w:sz w:val="24"/>
          <w:szCs w:val="24"/>
          <w:lang w:val="en-US"/>
        </w:rPr>
      </w:pPr>
      <w:r w:rsidRPr="00F02B66">
        <w:rPr>
          <w:rFonts w:ascii="Arial" w:hAnsi="Arial" w:cs="Arial"/>
          <w:sz w:val="24"/>
          <w:szCs w:val="24"/>
          <w:lang w:val="en-US"/>
        </w:rPr>
        <w:t>Circumstances which could lead to permanent redeployment are</w:t>
      </w:r>
    </w:p>
    <w:p w14:paraId="454A5DD7" w14:textId="77777777" w:rsidR="00F02B66" w:rsidRPr="00F02B66" w:rsidRDefault="00F02B66" w:rsidP="00F02B66">
      <w:pPr>
        <w:numPr>
          <w:ilvl w:val="0"/>
          <w:numId w:val="9"/>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school closures or mergers</w:t>
      </w:r>
    </w:p>
    <w:p w14:paraId="58E61F97" w14:textId="02E24882" w:rsidR="00F02B66" w:rsidRPr="007D0114" w:rsidRDefault="00F02B66" w:rsidP="00F02B66">
      <w:pPr>
        <w:numPr>
          <w:ilvl w:val="0"/>
          <w:numId w:val="9"/>
        </w:numPr>
        <w:spacing w:after="100" w:afterAutospacing="1"/>
        <w:contextualSpacing/>
        <w:jc w:val="both"/>
        <w:rPr>
          <w:rFonts w:ascii="Arial" w:hAnsi="Arial" w:cs="Arial"/>
          <w:sz w:val="24"/>
          <w:szCs w:val="24"/>
          <w:lang w:val="en-US"/>
        </w:rPr>
      </w:pPr>
      <w:r w:rsidRPr="00F02B66">
        <w:rPr>
          <w:rFonts w:ascii="Arial" w:hAnsi="Arial" w:cs="Arial"/>
          <w:sz w:val="24"/>
          <w:szCs w:val="24"/>
          <w:lang w:val="en-US"/>
        </w:rPr>
        <w:t>falling school roll affecting a school’s entitlement to DHTs or PTGs</w:t>
      </w:r>
    </w:p>
    <w:sectPr w:rsidR="00F02B66" w:rsidRPr="007D0114" w:rsidSect="00F02B66">
      <w:headerReference w:type="default" r:id="rId3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7D1D" w14:textId="77777777" w:rsidR="006459F9" w:rsidRDefault="006459F9" w:rsidP="00F02B66">
      <w:r>
        <w:separator/>
      </w:r>
    </w:p>
  </w:endnote>
  <w:endnote w:type="continuationSeparator" w:id="0">
    <w:p w14:paraId="0D390C3B" w14:textId="77777777" w:rsidR="006459F9" w:rsidRDefault="006459F9" w:rsidP="00F0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15633006"/>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2327EDB9" w14:textId="613BB038" w:rsidR="00F02B66" w:rsidRPr="00F02B66" w:rsidRDefault="00F02B66">
            <w:pPr>
              <w:pStyle w:val="Footer"/>
              <w:rPr>
                <w:rFonts w:ascii="Arial" w:hAnsi="Arial" w:cs="Arial"/>
                <w:sz w:val="18"/>
                <w:szCs w:val="18"/>
              </w:rPr>
            </w:pPr>
            <w:r w:rsidRPr="00F02B66">
              <w:rPr>
                <w:rFonts w:ascii="Arial" w:hAnsi="Arial" w:cs="Arial"/>
                <w:sz w:val="18"/>
                <w:szCs w:val="18"/>
              </w:rPr>
              <w:t xml:space="preserve">Page </w:t>
            </w:r>
            <w:r w:rsidRPr="00F02B66">
              <w:rPr>
                <w:rFonts w:ascii="Arial" w:hAnsi="Arial" w:cs="Arial"/>
                <w:b/>
                <w:bCs/>
                <w:sz w:val="18"/>
                <w:szCs w:val="18"/>
              </w:rPr>
              <w:fldChar w:fldCharType="begin"/>
            </w:r>
            <w:r w:rsidRPr="00F02B66">
              <w:rPr>
                <w:rFonts w:ascii="Arial" w:hAnsi="Arial" w:cs="Arial"/>
                <w:b/>
                <w:bCs/>
                <w:sz w:val="18"/>
                <w:szCs w:val="18"/>
              </w:rPr>
              <w:instrText xml:space="preserve"> PAGE </w:instrText>
            </w:r>
            <w:r w:rsidRPr="00F02B66">
              <w:rPr>
                <w:rFonts w:ascii="Arial" w:hAnsi="Arial" w:cs="Arial"/>
                <w:b/>
                <w:bCs/>
                <w:sz w:val="18"/>
                <w:szCs w:val="18"/>
              </w:rPr>
              <w:fldChar w:fldCharType="separate"/>
            </w:r>
            <w:r w:rsidRPr="00F02B66">
              <w:rPr>
                <w:rFonts w:ascii="Arial" w:hAnsi="Arial" w:cs="Arial"/>
                <w:b/>
                <w:bCs/>
                <w:noProof/>
                <w:sz w:val="18"/>
                <w:szCs w:val="18"/>
              </w:rPr>
              <w:t>2</w:t>
            </w:r>
            <w:r w:rsidRPr="00F02B66">
              <w:rPr>
                <w:rFonts w:ascii="Arial" w:hAnsi="Arial" w:cs="Arial"/>
                <w:b/>
                <w:bCs/>
                <w:sz w:val="18"/>
                <w:szCs w:val="18"/>
              </w:rPr>
              <w:fldChar w:fldCharType="end"/>
            </w:r>
            <w:r w:rsidRPr="00F02B66">
              <w:rPr>
                <w:rFonts w:ascii="Arial" w:hAnsi="Arial" w:cs="Arial"/>
                <w:sz w:val="18"/>
                <w:szCs w:val="18"/>
              </w:rPr>
              <w:t xml:space="preserve"> of </w:t>
            </w:r>
            <w:r w:rsidRPr="00F02B66">
              <w:rPr>
                <w:rFonts w:ascii="Arial" w:hAnsi="Arial" w:cs="Arial"/>
                <w:b/>
                <w:bCs/>
                <w:sz w:val="18"/>
                <w:szCs w:val="18"/>
              </w:rPr>
              <w:fldChar w:fldCharType="begin"/>
            </w:r>
            <w:r w:rsidRPr="00F02B66">
              <w:rPr>
                <w:rFonts w:ascii="Arial" w:hAnsi="Arial" w:cs="Arial"/>
                <w:b/>
                <w:bCs/>
                <w:sz w:val="18"/>
                <w:szCs w:val="18"/>
              </w:rPr>
              <w:instrText xml:space="preserve"> NUMPAGES  </w:instrText>
            </w:r>
            <w:r w:rsidRPr="00F02B66">
              <w:rPr>
                <w:rFonts w:ascii="Arial" w:hAnsi="Arial" w:cs="Arial"/>
                <w:b/>
                <w:bCs/>
                <w:sz w:val="18"/>
                <w:szCs w:val="18"/>
              </w:rPr>
              <w:fldChar w:fldCharType="separate"/>
            </w:r>
            <w:r w:rsidRPr="00F02B66">
              <w:rPr>
                <w:rFonts w:ascii="Arial" w:hAnsi="Arial" w:cs="Arial"/>
                <w:b/>
                <w:bCs/>
                <w:noProof/>
                <w:sz w:val="18"/>
                <w:szCs w:val="18"/>
              </w:rPr>
              <w:t>2</w:t>
            </w:r>
            <w:r w:rsidRPr="00F02B66">
              <w:rPr>
                <w:rFonts w:ascii="Arial" w:hAnsi="Arial" w:cs="Arial"/>
                <w:b/>
                <w:bCs/>
                <w:sz w:val="18"/>
                <w:szCs w:val="18"/>
              </w:rPr>
              <w:fldChar w:fldCharType="end"/>
            </w:r>
          </w:p>
        </w:sdtContent>
      </w:sdt>
    </w:sdtContent>
  </w:sdt>
  <w:p w14:paraId="130AB8F8" w14:textId="71A5A6E6" w:rsidR="00F02B66" w:rsidRDefault="00F02B66" w:rsidP="00F02B66">
    <w:pPr>
      <w:pStyle w:val="Footer"/>
      <w:jc w:val="center"/>
    </w:pPr>
    <w:r>
      <w:rPr>
        <w:rFonts w:ascii="Times New Roman" w:hAnsi="Times New Roman"/>
        <w:noProof/>
        <w:sz w:val="20"/>
      </w:rPr>
      <w:drawing>
        <wp:inline distT="0" distB="0" distL="0" distR="0" wp14:anchorId="7B00BFFC" wp14:editId="66D21F41">
          <wp:extent cx="358140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04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74064060"/>
      <w:docPartObj>
        <w:docPartGallery w:val="Page Numbers (Bottom of Page)"/>
        <w:docPartUnique/>
      </w:docPartObj>
    </w:sdtPr>
    <w:sdtEndPr/>
    <w:sdtContent>
      <w:sdt>
        <w:sdtPr>
          <w:rPr>
            <w:rFonts w:ascii="Arial" w:hAnsi="Arial" w:cs="Arial"/>
            <w:sz w:val="18"/>
            <w:szCs w:val="18"/>
          </w:rPr>
          <w:id w:val="73560270"/>
          <w:docPartObj>
            <w:docPartGallery w:val="Page Numbers (Top of Page)"/>
            <w:docPartUnique/>
          </w:docPartObj>
        </w:sdtPr>
        <w:sdtEndPr/>
        <w:sdtContent>
          <w:p w14:paraId="34956835" w14:textId="2CA36BD3" w:rsidR="00F02B66" w:rsidRPr="00F02B66" w:rsidRDefault="00F02B66">
            <w:pPr>
              <w:pStyle w:val="Footer"/>
              <w:rPr>
                <w:rFonts w:ascii="Arial" w:hAnsi="Arial" w:cs="Arial"/>
                <w:sz w:val="18"/>
                <w:szCs w:val="18"/>
              </w:rPr>
            </w:pPr>
            <w:r w:rsidRPr="00F02B66">
              <w:rPr>
                <w:rFonts w:ascii="Arial" w:hAnsi="Arial" w:cs="Arial"/>
                <w:sz w:val="18"/>
                <w:szCs w:val="18"/>
              </w:rPr>
              <w:t xml:space="preserve">Page </w:t>
            </w:r>
            <w:r w:rsidRPr="00F02B66">
              <w:rPr>
                <w:rFonts w:ascii="Arial" w:hAnsi="Arial" w:cs="Arial"/>
                <w:b/>
                <w:bCs/>
                <w:sz w:val="18"/>
                <w:szCs w:val="18"/>
              </w:rPr>
              <w:fldChar w:fldCharType="begin"/>
            </w:r>
            <w:r w:rsidRPr="00F02B66">
              <w:rPr>
                <w:rFonts w:ascii="Arial" w:hAnsi="Arial" w:cs="Arial"/>
                <w:b/>
                <w:bCs/>
                <w:sz w:val="18"/>
                <w:szCs w:val="18"/>
              </w:rPr>
              <w:instrText xml:space="preserve"> PAGE </w:instrText>
            </w:r>
            <w:r w:rsidRPr="00F02B66">
              <w:rPr>
                <w:rFonts w:ascii="Arial" w:hAnsi="Arial" w:cs="Arial"/>
                <w:b/>
                <w:bCs/>
                <w:sz w:val="18"/>
                <w:szCs w:val="18"/>
              </w:rPr>
              <w:fldChar w:fldCharType="separate"/>
            </w:r>
            <w:r w:rsidRPr="00F02B66">
              <w:rPr>
                <w:rFonts w:ascii="Arial" w:hAnsi="Arial" w:cs="Arial"/>
                <w:b/>
                <w:bCs/>
                <w:noProof/>
                <w:sz w:val="18"/>
                <w:szCs w:val="18"/>
              </w:rPr>
              <w:t>2</w:t>
            </w:r>
            <w:r w:rsidRPr="00F02B66">
              <w:rPr>
                <w:rFonts w:ascii="Arial" w:hAnsi="Arial" w:cs="Arial"/>
                <w:b/>
                <w:bCs/>
                <w:sz w:val="18"/>
                <w:szCs w:val="18"/>
              </w:rPr>
              <w:fldChar w:fldCharType="end"/>
            </w:r>
            <w:r w:rsidRPr="00F02B66">
              <w:rPr>
                <w:rFonts w:ascii="Arial" w:hAnsi="Arial" w:cs="Arial"/>
                <w:sz w:val="18"/>
                <w:szCs w:val="18"/>
              </w:rPr>
              <w:t xml:space="preserve"> of </w:t>
            </w:r>
            <w:r w:rsidRPr="00F02B66">
              <w:rPr>
                <w:rFonts w:ascii="Arial" w:hAnsi="Arial" w:cs="Arial"/>
                <w:b/>
                <w:bCs/>
                <w:sz w:val="18"/>
                <w:szCs w:val="18"/>
              </w:rPr>
              <w:fldChar w:fldCharType="begin"/>
            </w:r>
            <w:r w:rsidRPr="00F02B66">
              <w:rPr>
                <w:rFonts w:ascii="Arial" w:hAnsi="Arial" w:cs="Arial"/>
                <w:b/>
                <w:bCs/>
                <w:sz w:val="18"/>
                <w:szCs w:val="18"/>
              </w:rPr>
              <w:instrText xml:space="preserve"> NUMPAGES  </w:instrText>
            </w:r>
            <w:r w:rsidRPr="00F02B66">
              <w:rPr>
                <w:rFonts w:ascii="Arial" w:hAnsi="Arial" w:cs="Arial"/>
                <w:b/>
                <w:bCs/>
                <w:sz w:val="18"/>
                <w:szCs w:val="18"/>
              </w:rPr>
              <w:fldChar w:fldCharType="separate"/>
            </w:r>
            <w:r w:rsidRPr="00F02B66">
              <w:rPr>
                <w:rFonts w:ascii="Arial" w:hAnsi="Arial" w:cs="Arial"/>
                <w:b/>
                <w:bCs/>
                <w:noProof/>
                <w:sz w:val="18"/>
                <w:szCs w:val="18"/>
              </w:rPr>
              <w:t>2</w:t>
            </w:r>
            <w:r w:rsidRPr="00F02B6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ED8B" w14:textId="77777777" w:rsidR="006459F9" w:rsidRDefault="006459F9" w:rsidP="00F02B66">
      <w:r>
        <w:separator/>
      </w:r>
    </w:p>
  </w:footnote>
  <w:footnote w:type="continuationSeparator" w:id="0">
    <w:p w14:paraId="5C8FE1DA" w14:textId="77777777" w:rsidR="006459F9" w:rsidRDefault="006459F9" w:rsidP="00F0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8E59" w14:textId="77777777" w:rsidR="00F02B66" w:rsidRDefault="00F02B66">
    <w:pPr>
      <w:pStyle w:val="Header"/>
    </w:pPr>
    <w:r>
      <w:rPr>
        <w:rFonts w:ascii="Times New Roman" w:hAnsi="Times New Roman"/>
        <w:noProof/>
        <w:sz w:val="20"/>
        <w:lang w:eastAsia="en-GB"/>
      </w:rPr>
      <w:drawing>
        <wp:anchor distT="0" distB="0" distL="114300" distR="114300" simplePos="0" relativeHeight="251663360" behindDoc="1" locked="0" layoutInCell="1" allowOverlap="1" wp14:anchorId="165EB34C" wp14:editId="057522C1">
          <wp:simplePos x="0" y="0"/>
          <wp:positionH relativeFrom="column">
            <wp:posOffset>4000500</wp:posOffset>
          </wp:positionH>
          <wp:positionV relativeFrom="paragraph">
            <wp:posOffset>-38735</wp:posOffset>
          </wp:positionV>
          <wp:extent cx="1951892" cy="397744"/>
          <wp:effectExtent l="0" t="0" r="0" b="2540"/>
          <wp:wrapTight wrapText="bothSides">
            <wp:wrapPolygon edited="0">
              <wp:start x="0" y="0"/>
              <wp:lineTo x="0" y="20703"/>
              <wp:lineTo x="21298" y="20703"/>
              <wp:lineTo x="21298" y="0"/>
              <wp:lineTo x="0" y="0"/>
            </wp:wrapPolygon>
          </wp:wrapTight>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892" cy="3977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BC91" w14:textId="48F1E41E" w:rsidR="00F02B66" w:rsidRDefault="00F02B66">
    <w:pPr>
      <w:pStyle w:val="Header"/>
    </w:pPr>
    <w:r>
      <w:rPr>
        <w:noProof/>
        <w:lang w:eastAsia="en-GB"/>
      </w:rPr>
      <w:drawing>
        <wp:anchor distT="0" distB="0" distL="114300" distR="114300" simplePos="0" relativeHeight="251660288" behindDoc="1" locked="0" layoutInCell="1" allowOverlap="1" wp14:anchorId="4DC6FC5A" wp14:editId="7C920BA3">
          <wp:simplePos x="0" y="0"/>
          <wp:positionH relativeFrom="column">
            <wp:posOffset>-962025</wp:posOffset>
          </wp:positionH>
          <wp:positionV relativeFrom="paragraph">
            <wp:posOffset>-459105</wp:posOffset>
          </wp:positionV>
          <wp:extent cx="2331085" cy="1485900"/>
          <wp:effectExtent l="0" t="0" r="0" b="0"/>
          <wp:wrapTight wrapText="bothSides">
            <wp:wrapPolygon edited="0">
              <wp:start x="0" y="0"/>
              <wp:lineTo x="0" y="277"/>
              <wp:lineTo x="3001" y="13292"/>
              <wp:lineTo x="3001" y="16338"/>
              <wp:lineTo x="5296" y="17723"/>
              <wp:lineTo x="3707" y="18554"/>
              <wp:lineTo x="3707" y="20769"/>
              <wp:lineTo x="19770" y="20769"/>
              <wp:lineTo x="20123" y="19108"/>
              <wp:lineTo x="17828" y="18554"/>
              <wp:lineTo x="10768" y="17723"/>
              <wp:lineTo x="6355" y="0"/>
              <wp:lineTo x="0" y="0"/>
            </wp:wrapPolygon>
          </wp:wrapTight>
          <wp:docPr id="12" name="Picture 12"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2945" b="83426"/>
                  <a:stretch/>
                </pic:blipFill>
                <pic:spPr bwMode="auto">
                  <a:xfrm>
                    <a:off x="0" y="0"/>
                    <a:ext cx="233108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6B422" w14:textId="6FDD2A05" w:rsidR="00F02B66" w:rsidRDefault="00F02B66">
    <w:pPr>
      <w:pStyle w:val="Header"/>
    </w:pPr>
    <w:r>
      <w:rPr>
        <w:rFonts w:ascii="Times New Roman" w:hAnsi="Times New Roman"/>
        <w:noProof/>
        <w:sz w:val="20"/>
        <w:lang w:eastAsia="en-GB"/>
      </w:rPr>
      <w:drawing>
        <wp:anchor distT="0" distB="0" distL="114300" distR="114300" simplePos="0" relativeHeight="251661312" behindDoc="1" locked="0" layoutInCell="1" allowOverlap="1" wp14:anchorId="599FE392" wp14:editId="217F3DAB">
          <wp:simplePos x="0" y="0"/>
          <wp:positionH relativeFrom="column">
            <wp:posOffset>3981450</wp:posOffset>
          </wp:positionH>
          <wp:positionV relativeFrom="paragraph">
            <wp:posOffset>36830</wp:posOffset>
          </wp:positionV>
          <wp:extent cx="1951892" cy="397744"/>
          <wp:effectExtent l="0" t="0" r="0" b="2540"/>
          <wp:wrapTight wrapText="bothSides">
            <wp:wrapPolygon edited="0">
              <wp:start x="0" y="0"/>
              <wp:lineTo x="0" y="20703"/>
              <wp:lineTo x="21298" y="20703"/>
              <wp:lineTo x="21298" y="0"/>
              <wp:lineTo x="0" y="0"/>
            </wp:wrapPolygon>
          </wp:wrapTight>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1892" cy="397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648F" w14:textId="3B0B4AC9" w:rsidR="00F02B66" w:rsidRDefault="00F02B66">
    <w:pPr>
      <w:pStyle w:val="Header"/>
    </w:pPr>
  </w:p>
  <w:p w14:paraId="4711EAFB" w14:textId="24879919" w:rsidR="00F02B66" w:rsidRDefault="00F02B66">
    <w:pPr>
      <w:pStyle w:val="Header"/>
    </w:pPr>
  </w:p>
  <w:p w14:paraId="70B078BF" w14:textId="08563FE0" w:rsidR="00F02B66" w:rsidRDefault="00F02B66">
    <w:pPr>
      <w:pStyle w:val="Header"/>
    </w:pPr>
  </w:p>
  <w:p w14:paraId="5A047E1C" w14:textId="6A64F4BF" w:rsidR="00F02B66" w:rsidRDefault="00F02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2262" w14:textId="2B5AADAB" w:rsidR="00F02B66" w:rsidRPr="00F02B66" w:rsidRDefault="00F02B66" w:rsidP="00F02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92F"/>
    <w:multiLevelType w:val="hybridMultilevel"/>
    <w:tmpl w:val="A920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E26"/>
    <w:multiLevelType w:val="hybridMultilevel"/>
    <w:tmpl w:val="391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A76F9"/>
    <w:multiLevelType w:val="multilevel"/>
    <w:tmpl w:val="1CC2A57E"/>
    <w:lvl w:ilvl="0">
      <w:start w:val="1"/>
      <w:numFmt w:val="bullet"/>
      <w:lvlText w:val=""/>
      <w:lvlJc w:val="left"/>
      <w:pPr>
        <w:tabs>
          <w:tab w:val="left" w:pos="36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7522CB"/>
    <w:multiLevelType w:val="multilevel"/>
    <w:tmpl w:val="6054CB78"/>
    <w:lvl w:ilvl="0">
      <w:start w:val="1"/>
      <w:numFmt w:val="decimal"/>
      <w:lvlText w:val="%1."/>
      <w:lvlJc w:val="left"/>
      <w:pPr>
        <w:ind w:left="720" w:hanging="360"/>
      </w:pPr>
      <w:rPr>
        <w:rFonts w:hint="default"/>
      </w:rPr>
    </w:lvl>
    <w:lvl w:ilvl="1">
      <w:start w:val="1"/>
      <w:numFmt w:val="decimal"/>
      <w:isLgl/>
      <w:lvlText w:val="%1.%2"/>
      <w:lvlJc w:val="left"/>
      <w:pPr>
        <w:ind w:left="826"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7D4206"/>
    <w:multiLevelType w:val="multilevel"/>
    <w:tmpl w:val="09C2B9B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346914"/>
    <w:multiLevelType w:val="multilevel"/>
    <w:tmpl w:val="CC14D630"/>
    <w:lvl w:ilvl="0">
      <w:start w:val="2"/>
      <w:numFmt w:val="decimal"/>
      <w:lvlText w:val="%1."/>
      <w:lvlJc w:val="left"/>
      <w:pPr>
        <w:ind w:left="720" w:hanging="360"/>
      </w:pPr>
      <w:rPr>
        <w:rFonts w:hint="default"/>
      </w:rPr>
    </w:lvl>
    <w:lvl w:ilvl="1">
      <w:start w:val="1"/>
      <w:numFmt w:val="decimal"/>
      <w:isLgl/>
      <w:lvlText w:val="%1.%2"/>
      <w:lvlJc w:val="left"/>
      <w:pPr>
        <w:ind w:left="826"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7B379E"/>
    <w:multiLevelType w:val="multilevel"/>
    <w:tmpl w:val="09C2B9B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A3267E"/>
    <w:multiLevelType w:val="hybridMultilevel"/>
    <w:tmpl w:val="DBFE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14A41"/>
    <w:multiLevelType w:val="hybridMultilevel"/>
    <w:tmpl w:val="D1D8E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774FD1"/>
    <w:multiLevelType w:val="hybridMultilevel"/>
    <w:tmpl w:val="9A8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421986">
    <w:abstractNumId w:val="4"/>
  </w:num>
  <w:num w:numId="2" w16cid:durableId="352387539">
    <w:abstractNumId w:val="6"/>
  </w:num>
  <w:num w:numId="3" w16cid:durableId="1918704745">
    <w:abstractNumId w:val="5"/>
  </w:num>
  <w:num w:numId="4" w16cid:durableId="209265177">
    <w:abstractNumId w:val="3"/>
  </w:num>
  <w:num w:numId="5" w16cid:durableId="1326081780">
    <w:abstractNumId w:val="7"/>
  </w:num>
  <w:num w:numId="6" w16cid:durableId="712390817">
    <w:abstractNumId w:val="0"/>
  </w:num>
  <w:num w:numId="7" w16cid:durableId="799692008">
    <w:abstractNumId w:val="9"/>
  </w:num>
  <w:num w:numId="8" w16cid:durableId="1168911040">
    <w:abstractNumId w:val="1"/>
  </w:num>
  <w:num w:numId="9" w16cid:durableId="1337657278">
    <w:abstractNumId w:val="2"/>
  </w:num>
  <w:num w:numId="10" w16cid:durableId="135418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66"/>
    <w:rsid w:val="000655A3"/>
    <w:rsid w:val="000771FA"/>
    <w:rsid w:val="003147C0"/>
    <w:rsid w:val="00497F17"/>
    <w:rsid w:val="006459F9"/>
    <w:rsid w:val="007425C6"/>
    <w:rsid w:val="007C4CD2"/>
    <w:rsid w:val="007D0114"/>
    <w:rsid w:val="007E06B8"/>
    <w:rsid w:val="008201C6"/>
    <w:rsid w:val="00997D45"/>
    <w:rsid w:val="00A003D5"/>
    <w:rsid w:val="00A17200"/>
    <w:rsid w:val="00A40635"/>
    <w:rsid w:val="00A42235"/>
    <w:rsid w:val="00A75643"/>
    <w:rsid w:val="00C67FB8"/>
    <w:rsid w:val="00D26D4B"/>
    <w:rsid w:val="00E97D07"/>
    <w:rsid w:val="00EB3720"/>
    <w:rsid w:val="00F02B66"/>
    <w:rsid w:val="00F16058"/>
    <w:rsid w:val="00F7193C"/>
    <w:rsid w:val="00FB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E645"/>
  <w15:chartTrackingRefBased/>
  <w15:docId w15:val="{3177F8F4-FB60-43A4-8231-951E6B2D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66"/>
  </w:style>
  <w:style w:type="paragraph" w:styleId="Heading1">
    <w:name w:val="heading 1"/>
    <w:basedOn w:val="Normal"/>
    <w:next w:val="Normal"/>
    <w:link w:val="Heading1Char"/>
    <w:uiPriority w:val="9"/>
    <w:qFormat/>
    <w:rsid w:val="00F02B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B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2B66"/>
    <w:pPr>
      <w:ind w:left="720"/>
      <w:contextualSpacing/>
    </w:pPr>
  </w:style>
  <w:style w:type="character" w:styleId="Hyperlink">
    <w:name w:val="Hyperlink"/>
    <w:basedOn w:val="DefaultParagraphFont"/>
    <w:uiPriority w:val="99"/>
    <w:unhideWhenUsed/>
    <w:rsid w:val="00F02B66"/>
    <w:rPr>
      <w:color w:val="0563C1" w:themeColor="hyperlink"/>
      <w:u w:val="single"/>
    </w:rPr>
  </w:style>
  <w:style w:type="table" w:styleId="TableGrid">
    <w:name w:val="Table Grid"/>
    <w:basedOn w:val="TableNormal"/>
    <w:uiPriority w:val="39"/>
    <w:rsid w:val="00F0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B66"/>
    <w:pPr>
      <w:tabs>
        <w:tab w:val="center" w:pos="4513"/>
        <w:tab w:val="right" w:pos="9026"/>
      </w:tabs>
    </w:pPr>
  </w:style>
  <w:style w:type="character" w:customStyle="1" w:styleId="HeaderChar">
    <w:name w:val="Header Char"/>
    <w:basedOn w:val="DefaultParagraphFont"/>
    <w:link w:val="Header"/>
    <w:uiPriority w:val="99"/>
    <w:rsid w:val="00F02B66"/>
  </w:style>
  <w:style w:type="paragraph" w:styleId="Footer">
    <w:name w:val="footer"/>
    <w:basedOn w:val="Normal"/>
    <w:link w:val="FooterChar"/>
    <w:uiPriority w:val="99"/>
    <w:unhideWhenUsed/>
    <w:rsid w:val="00F02B66"/>
    <w:pPr>
      <w:tabs>
        <w:tab w:val="center" w:pos="4513"/>
        <w:tab w:val="right" w:pos="9026"/>
      </w:tabs>
    </w:pPr>
  </w:style>
  <w:style w:type="character" w:customStyle="1" w:styleId="FooterChar">
    <w:name w:val="Footer Char"/>
    <w:basedOn w:val="DefaultParagraphFont"/>
    <w:link w:val="Footer"/>
    <w:uiPriority w:val="99"/>
    <w:rsid w:val="00F02B66"/>
  </w:style>
  <w:style w:type="paragraph" w:styleId="Revision">
    <w:name w:val="Revision"/>
    <w:hidden/>
    <w:uiPriority w:val="99"/>
    <w:semiHidden/>
    <w:rsid w:val="00FB443D"/>
  </w:style>
  <w:style w:type="character" w:styleId="CommentReference">
    <w:name w:val="annotation reference"/>
    <w:basedOn w:val="DefaultParagraphFont"/>
    <w:uiPriority w:val="99"/>
    <w:semiHidden/>
    <w:unhideWhenUsed/>
    <w:rsid w:val="00FB443D"/>
    <w:rPr>
      <w:sz w:val="16"/>
      <w:szCs w:val="16"/>
    </w:rPr>
  </w:style>
  <w:style w:type="paragraph" w:styleId="CommentText">
    <w:name w:val="annotation text"/>
    <w:basedOn w:val="Normal"/>
    <w:link w:val="CommentTextChar"/>
    <w:uiPriority w:val="99"/>
    <w:semiHidden/>
    <w:unhideWhenUsed/>
    <w:rsid w:val="00FB443D"/>
    <w:rPr>
      <w:sz w:val="20"/>
      <w:szCs w:val="20"/>
    </w:rPr>
  </w:style>
  <w:style w:type="character" w:customStyle="1" w:styleId="CommentTextChar">
    <w:name w:val="Comment Text Char"/>
    <w:basedOn w:val="DefaultParagraphFont"/>
    <w:link w:val="CommentText"/>
    <w:uiPriority w:val="99"/>
    <w:semiHidden/>
    <w:rsid w:val="00FB443D"/>
    <w:rPr>
      <w:sz w:val="20"/>
      <w:szCs w:val="20"/>
    </w:rPr>
  </w:style>
  <w:style w:type="paragraph" w:styleId="CommentSubject">
    <w:name w:val="annotation subject"/>
    <w:basedOn w:val="CommentText"/>
    <w:next w:val="CommentText"/>
    <w:link w:val="CommentSubjectChar"/>
    <w:uiPriority w:val="99"/>
    <w:semiHidden/>
    <w:unhideWhenUsed/>
    <w:rsid w:val="00FB443D"/>
    <w:rPr>
      <w:b/>
      <w:bCs/>
    </w:rPr>
  </w:style>
  <w:style w:type="character" w:customStyle="1" w:styleId="CommentSubjectChar">
    <w:name w:val="Comment Subject Char"/>
    <w:basedOn w:val="CommentTextChar"/>
    <w:link w:val="CommentSubject"/>
    <w:uiPriority w:val="99"/>
    <w:semiHidden/>
    <w:rsid w:val="00FB443D"/>
    <w:rPr>
      <w:b/>
      <w:bCs/>
      <w:sz w:val="20"/>
      <w:szCs w:val="20"/>
    </w:rPr>
  </w:style>
  <w:style w:type="character" w:styleId="UnresolvedMention">
    <w:name w:val="Unresolved Mention"/>
    <w:basedOn w:val="DefaultParagraphFont"/>
    <w:uiPriority w:val="99"/>
    <w:semiHidden/>
    <w:unhideWhenUsed/>
    <w:rsid w:val="00A75643"/>
    <w:rPr>
      <w:color w:val="605E5C"/>
      <w:shd w:val="clear" w:color="auto" w:fill="E1DFDD"/>
    </w:rPr>
  </w:style>
  <w:style w:type="character" w:styleId="FollowedHyperlink">
    <w:name w:val="FollowedHyperlink"/>
    <w:basedOn w:val="DefaultParagraphFont"/>
    <w:uiPriority w:val="99"/>
    <w:semiHidden/>
    <w:unhideWhenUsed/>
    <w:rsid w:val="00E97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acKay@aberdeenshire.gov.uk"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view.officeapps.live.com/op/view.aspx?src=https%3A%2F%2Fwww.snct.org.uk%2Flibrary%2F3057%2FLNCT-22-03%2520Use%2520of%2520Temporary%2520Contracts%2520and%2520Transfer%2520to%2520Permanency.docx&amp;wdOrigin=BROWSELINK" TargetMode="External"/><Relationship Id="rId3" Type="http://schemas.openxmlformats.org/officeDocument/2006/relationships/settings" Target="settings.xml"/><Relationship Id="rId21" Type="http://schemas.openxmlformats.org/officeDocument/2006/relationships/hyperlink" Target="https://view.officeapps.live.com/op/view.aspx?src=https%3A%2F%2Fwww.snct.org.uk%2Flibrary%2F3036%2FLNCT-22-08%2520Agreement%2520on%2520Short%2520Term%2520Supply.docx&amp;wdOrigin=BROWSELINK" TargetMode="External"/><Relationship Id="rId7" Type="http://schemas.openxmlformats.org/officeDocument/2006/relationships/hyperlink" Target="https://arcadialite.aberdeenshire.gov.uk/recruitment-selection/" TargetMode="External"/><Relationship Id="rId12" Type="http://schemas.openxmlformats.org/officeDocument/2006/relationships/hyperlink" Target="mailto:aberdeenshire@eis.org.uk" TargetMode="External"/><Relationship Id="rId17" Type="http://schemas.openxmlformats.org/officeDocument/2006/relationships/hyperlink" Target="https://view.officeapps.live.com/op/view.aspx?src=https%3A%2F%2Fwww.snct.org.uk%2Flibrary%2F2914%2FLNCT-21-20%2520Job%2520Sharing%2520Scheme%2520for%2520Teachers.docx&amp;wdOrigin=BROWSELINK" TargetMode="External"/><Relationship Id="rId25" Type="http://schemas.openxmlformats.org/officeDocument/2006/relationships/hyperlink" Target="https://view.officeapps.live.com/op/view.aspx?src=https%3A%2F%2Fwww.snct.org.uk%2Flibrary%2F2919%2FLNCT-21-25%2520Job%2520Profile%2520Principal%2520Teacher%2520Subject.docx&amp;wdOrigin=BROWSELINK" TargetMode="External"/><Relationship Id="rId2" Type="http://schemas.openxmlformats.org/officeDocument/2006/relationships/styles" Target="styles.xml"/><Relationship Id="rId16" Type="http://schemas.openxmlformats.org/officeDocument/2006/relationships/hyperlink" Target="http://arcadialite.aberdeenshire.gov.uk/wp-content/uploads/2012/02/RandSAppointmentsPanel.pdf" TargetMode="External"/><Relationship Id="rId20" Type="http://schemas.openxmlformats.org/officeDocument/2006/relationships/hyperlink" Target="https://view.officeapps.live.com/op/view.aspx?src=https%3A%2F%2Fwww.snct.org.uk%2Flibrary%2F3057%2FLNCT-22-03%2520Use%2520of%2520Temporary%2520Contracts%2520and%2520Transfer%2520to%2520Permanency.docx&amp;wdOrigin=BROWSELINK" TargetMode="External"/><Relationship Id="rId29" Type="http://schemas.openxmlformats.org/officeDocument/2006/relationships/hyperlink" Target="https://view.officeapps.live.com/op/view.aspx?src=https%3A%2F%2Fwww.snct.org.uk%2Flibrary%2F2913%2FLNCT-21-19%2520Excess%2520Teachers.docx&amp;wdOrigin=BROWSE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MacKay@aberdeenshire.gov.uk" TargetMode="External"/><Relationship Id="rId24" Type="http://schemas.openxmlformats.org/officeDocument/2006/relationships/hyperlink" Target="http://www.snct.org.uk/library/1620/Faculty%20FAQ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cadialite.aberdeenshire.gov.uk/?p=3563" TargetMode="External"/><Relationship Id="rId23" Type="http://schemas.openxmlformats.org/officeDocument/2006/relationships/hyperlink" Target="https://view.officeapps.live.com/op/view.aspx?src=https%3A%2F%2Fwww.snct.org.uk%2Flibrary%2F3171%2FLNCT-22-14%2520Higher%2520Responsibility%2520Acting%2520Up.docx&amp;wdOrigin=BROWSELINK" TargetMode="External"/><Relationship Id="rId28" Type="http://schemas.openxmlformats.org/officeDocument/2006/relationships/hyperlink" Target="https://view.officeapps.live.com/op/view.aspx?src=https%3A%2F%2Fwww.snct.org.uk%2Flibrary%2F2913%2FLNCT-21-19%2520Excess%2520Teachers.docx&amp;wdOrigin=BROWSELINK" TargetMode="External"/><Relationship Id="rId10" Type="http://schemas.openxmlformats.org/officeDocument/2006/relationships/hyperlink" Target="mailto:aberdeenshire@eis.org.uk"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Smith@aberdeenshire.gov.uk" TargetMode="External"/><Relationship Id="rId14" Type="http://schemas.openxmlformats.org/officeDocument/2006/relationships/footer" Target="footer1.xml"/><Relationship Id="rId22" Type="http://schemas.openxmlformats.org/officeDocument/2006/relationships/hyperlink" Target="https://view.officeapps.live.com/op/view.aspx?src=https%3A%2F%2Fwww.snct.org.uk%2Flibrary%2F3006%2FLNCT-21-34%2520Recruitment%2520and%2520Selection%2520for%2520Acting%2520HT%2520DHT%2520PT.docx&amp;wdOrigin=BROWSELINK" TargetMode="External"/><Relationship Id="rId27" Type="http://schemas.openxmlformats.org/officeDocument/2006/relationships/hyperlink" Target="https://view.officeapps.live.com/op/view.aspx?src=https%3A%2F%2Fwww.snct.org.uk%2Flibrary%2F2914%2FLNCT-21-20%2520Job%2520Sharing%2520Scheme%2520for%2520Teachers.docx&amp;wdOrigin=BROWSELINK"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Lawson</dc:creator>
  <cp:keywords/>
  <dc:description/>
  <cp:lastModifiedBy>Lisa Repper</cp:lastModifiedBy>
  <cp:revision>8</cp:revision>
  <dcterms:created xsi:type="dcterms:W3CDTF">2022-03-10T17:34:00Z</dcterms:created>
  <dcterms:modified xsi:type="dcterms:W3CDTF">2023-08-11T10:31:00Z</dcterms:modified>
</cp:coreProperties>
</file>